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7C8B4" w14:textId="4F83E203" w:rsidR="00700EF5" w:rsidRPr="007A602A" w:rsidRDefault="00700EF5" w:rsidP="00700EF5">
      <w:pPr>
        <w:pStyle w:val="3GPPHeader"/>
        <w:spacing w:after="60"/>
        <w:rPr>
          <w:rFonts w:cs="Arial"/>
          <w:sz w:val="32"/>
          <w:szCs w:val="32"/>
          <w:highlight w:val="yellow"/>
        </w:rPr>
      </w:pPr>
      <w:r w:rsidRPr="007A602A">
        <w:rPr>
          <w:rFonts w:cs="Arial"/>
        </w:rPr>
        <w:t>3GPP TSG-RAN WG2 #</w:t>
      </w:r>
      <w:r w:rsidR="006D1E26" w:rsidRPr="007A602A">
        <w:rPr>
          <w:rFonts w:cs="Arial"/>
        </w:rPr>
        <w:t>100</w:t>
      </w:r>
      <w:r w:rsidRPr="007A602A">
        <w:rPr>
          <w:rFonts w:cs="Arial"/>
        </w:rPr>
        <w:tab/>
      </w:r>
      <w:r w:rsidRPr="007A602A">
        <w:rPr>
          <w:rFonts w:cs="Arial"/>
          <w:sz w:val="32"/>
          <w:szCs w:val="32"/>
        </w:rPr>
        <w:t>Tdoc R2-</w:t>
      </w:r>
      <w:r w:rsidR="00B80104" w:rsidRPr="00B80104">
        <w:rPr>
          <w:rFonts w:cs="Arial"/>
          <w:sz w:val="32"/>
          <w:szCs w:val="32"/>
        </w:rPr>
        <w:t>1713452</w:t>
      </w:r>
    </w:p>
    <w:p w14:paraId="0A2B577E" w14:textId="7456C63B" w:rsidR="00700EF5" w:rsidRPr="007A602A" w:rsidRDefault="005E03C7" w:rsidP="00700EF5">
      <w:pPr>
        <w:pStyle w:val="3GPPHeader"/>
        <w:rPr>
          <w:rFonts w:cs="Arial"/>
        </w:rPr>
      </w:pPr>
      <w:r w:rsidRPr="007A602A">
        <w:rPr>
          <w:rFonts w:cs="Arial"/>
        </w:rPr>
        <w:t>Reno, Nevada, USA</w:t>
      </w:r>
      <w:r w:rsidR="00700EF5" w:rsidRPr="007A602A">
        <w:rPr>
          <w:rFonts w:cs="Arial"/>
        </w:rPr>
        <w:t xml:space="preserve">, </w:t>
      </w:r>
      <w:r w:rsidRPr="007A602A">
        <w:rPr>
          <w:rFonts w:cs="Arial"/>
        </w:rPr>
        <w:t>27</w:t>
      </w:r>
      <w:r w:rsidR="00700EF5" w:rsidRPr="007A602A">
        <w:rPr>
          <w:rFonts w:cs="Arial"/>
          <w:vertAlign w:val="superscript"/>
        </w:rPr>
        <w:t>th</w:t>
      </w:r>
      <w:r w:rsidR="00700EF5" w:rsidRPr="007A602A">
        <w:rPr>
          <w:rFonts w:cs="Arial"/>
        </w:rPr>
        <w:t xml:space="preserve"> </w:t>
      </w:r>
      <w:r w:rsidR="00BF3B64" w:rsidRPr="007A602A">
        <w:rPr>
          <w:rFonts w:cs="Arial"/>
        </w:rPr>
        <w:t>November</w:t>
      </w:r>
      <w:r w:rsidRPr="007A602A">
        <w:rPr>
          <w:rFonts w:cs="Arial"/>
        </w:rPr>
        <w:t xml:space="preserve"> </w:t>
      </w:r>
      <w:r w:rsidR="00700EF5" w:rsidRPr="007A602A">
        <w:rPr>
          <w:rFonts w:cs="Arial"/>
        </w:rPr>
        <w:t xml:space="preserve">– </w:t>
      </w:r>
      <w:r w:rsidRPr="007A602A">
        <w:rPr>
          <w:rFonts w:cs="Arial"/>
        </w:rPr>
        <w:t>1</w:t>
      </w:r>
      <w:r w:rsidRPr="007A602A">
        <w:rPr>
          <w:rFonts w:cs="Arial"/>
          <w:vertAlign w:val="superscript"/>
        </w:rPr>
        <w:t>st</w:t>
      </w:r>
      <w:r w:rsidR="00700EF5" w:rsidRPr="007A602A">
        <w:rPr>
          <w:rFonts w:cs="Arial"/>
        </w:rPr>
        <w:t xml:space="preserve"> </w:t>
      </w:r>
      <w:r w:rsidRPr="007A602A">
        <w:rPr>
          <w:rFonts w:cs="Arial"/>
        </w:rPr>
        <w:t>December</w:t>
      </w:r>
      <w:r w:rsidR="00700EF5" w:rsidRPr="007A602A">
        <w:rPr>
          <w:rFonts w:cs="Arial"/>
        </w:rPr>
        <w:t xml:space="preserve"> 2017</w:t>
      </w:r>
      <w:r w:rsidR="00EE3531">
        <w:rPr>
          <w:rFonts w:cs="Arial"/>
        </w:rPr>
        <w:tab/>
        <w:t>Update of R2-1711938</w:t>
      </w:r>
    </w:p>
    <w:p w14:paraId="3BC835CB" w14:textId="7A991972" w:rsidR="00E90E49" w:rsidRPr="007A602A" w:rsidRDefault="00603EFB" w:rsidP="00603EFB">
      <w:pPr>
        <w:pStyle w:val="3GPPHeader"/>
        <w:tabs>
          <w:tab w:val="clear" w:pos="1701"/>
          <w:tab w:val="clear" w:pos="9639"/>
          <w:tab w:val="left" w:pos="3030"/>
        </w:tabs>
        <w:rPr>
          <w:rFonts w:cs="Arial"/>
        </w:rPr>
      </w:pPr>
      <w:r>
        <w:rPr>
          <w:rFonts w:cs="Arial"/>
        </w:rPr>
        <w:tab/>
      </w:r>
    </w:p>
    <w:p w14:paraId="0AC48F5B" w14:textId="2DA3171A" w:rsidR="00E90E49" w:rsidRPr="007A602A" w:rsidRDefault="00E90E49" w:rsidP="00311702">
      <w:pPr>
        <w:pStyle w:val="3GPPHeader"/>
        <w:rPr>
          <w:rFonts w:cs="Arial"/>
          <w:sz w:val="22"/>
        </w:rPr>
      </w:pPr>
      <w:r w:rsidRPr="007A602A">
        <w:rPr>
          <w:rFonts w:cs="Arial"/>
          <w:sz w:val="22"/>
        </w:rPr>
        <w:t>Agenda Item:</w:t>
      </w:r>
      <w:r w:rsidRPr="007A602A">
        <w:rPr>
          <w:rFonts w:cs="Arial"/>
          <w:sz w:val="22"/>
        </w:rPr>
        <w:tab/>
      </w:r>
      <w:r w:rsidR="00EE3531" w:rsidRPr="00EE3531">
        <w:rPr>
          <w:rFonts w:cs="Arial"/>
          <w:sz w:val="22"/>
        </w:rPr>
        <w:t>9.4.4.1</w:t>
      </w:r>
      <w:r w:rsidR="00EE3531" w:rsidRPr="00EE3531">
        <w:rPr>
          <w:rFonts w:cs="Arial"/>
          <w:sz w:val="22"/>
        </w:rPr>
        <w:tab/>
      </w:r>
    </w:p>
    <w:p w14:paraId="31BC4B09" w14:textId="77777777" w:rsidR="00E90E49" w:rsidRPr="007A602A" w:rsidRDefault="003D3C45" w:rsidP="00F64C2B">
      <w:pPr>
        <w:pStyle w:val="3GPPHeader"/>
        <w:rPr>
          <w:rFonts w:cs="Arial"/>
          <w:sz w:val="22"/>
        </w:rPr>
      </w:pPr>
      <w:r w:rsidRPr="007A602A">
        <w:rPr>
          <w:rFonts w:cs="Arial"/>
          <w:sz w:val="22"/>
        </w:rPr>
        <w:t>Source:</w:t>
      </w:r>
      <w:r w:rsidR="00E90E49" w:rsidRPr="007A602A">
        <w:rPr>
          <w:rFonts w:cs="Arial"/>
          <w:sz w:val="22"/>
        </w:rPr>
        <w:tab/>
      </w:r>
      <w:r w:rsidR="00F64C2B" w:rsidRPr="007A602A">
        <w:rPr>
          <w:rFonts w:cs="Arial"/>
          <w:sz w:val="22"/>
        </w:rPr>
        <w:t>Ericsson</w:t>
      </w:r>
    </w:p>
    <w:p w14:paraId="1F975BDB" w14:textId="4D886895" w:rsidR="00E90E49" w:rsidRPr="007A602A" w:rsidRDefault="003D3C45" w:rsidP="00311702">
      <w:pPr>
        <w:pStyle w:val="3GPPHeader"/>
        <w:rPr>
          <w:rFonts w:cs="Arial"/>
          <w:sz w:val="22"/>
        </w:rPr>
      </w:pPr>
      <w:r w:rsidRPr="007A602A">
        <w:rPr>
          <w:rFonts w:cs="Arial"/>
          <w:sz w:val="22"/>
        </w:rPr>
        <w:t>Title:</w:t>
      </w:r>
      <w:r w:rsidR="00E90E49" w:rsidRPr="007A602A">
        <w:rPr>
          <w:rFonts w:cs="Arial"/>
          <w:sz w:val="22"/>
        </w:rPr>
        <w:tab/>
      </w:r>
      <w:r w:rsidR="00EE3531" w:rsidRPr="00756607">
        <w:rPr>
          <w:sz w:val="22"/>
        </w:rPr>
        <w:t>Mobility Simulations of Aerial UEs</w:t>
      </w:r>
      <w:r w:rsidR="003D5A08">
        <w:rPr>
          <w:sz w:val="22"/>
        </w:rPr>
        <w:t xml:space="preserve"> - full buffer case</w:t>
      </w:r>
    </w:p>
    <w:p w14:paraId="0CABB442" w14:textId="77777777" w:rsidR="00E90E49" w:rsidRPr="007A602A" w:rsidRDefault="00E90E49" w:rsidP="00D546FF">
      <w:pPr>
        <w:pStyle w:val="3GPPHeader"/>
        <w:rPr>
          <w:rFonts w:cs="Arial"/>
          <w:sz w:val="22"/>
        </w:rPr>
      </w:pPr>
      <w:r w:rsidRPr="007A602A">
        <w:rPr>
          <w:rFonts w:cs="Arial"/>
          <w:sz w:val="22"/>
        </w:rPr>
        <w:t>Document for:</w:t>
      </w:r>
      <w:r w:rsidRPr="007A602A">
        <w:rPr>
          <w:rFonts w:cs="Arial"/>
          <w:sz w:val="22"/>
        </w:rPr>
        <w:tab/>
        <w:t>Discussion, Decision</w:t>
      </w:r>
    </w:p>
    <w:p w14:paraId="22638F8B" w14:textId="77777777" w:rsidR="00C24345" w:rsidRPr="007A602A" w:rsidRDefault="00E90E49" w:rsidP="00A2052C">
      <w:pPr>
        <w:pStyle w:val="Heading1"/>
      </w:pPr>
      <w:r w:rsidRPr="007A602A">
        <w:t>Introduction</w:t>
      </w:r>
    </w:p>
    <w:p w14:paraId="644D7E8D" w14:textId="3D5A0B97" w:rsidR="00880282" w:rsidRPr="00756607" w:rsidRDefault="00880282" w:rsidP="00880282">
      <w:r w:rsidRPr="00756607">
        <w:t xml:space="preserve">In this contribution, we show the mobility </w:t>
      </w:r>
      <w:r>
        <w:t xml:space="preserve">simulation </w:t>
      </w:r>
      <w:r w:rsidRPr="00756607">
        <w:t>results with a system-level simulator.</w:t>
      </w:r>
    </w:p>
    <w:p w14:paraId="26BEAF4D" w14:textId="77777777" w:rsidR="004000E8" w:rsidRPr="007A602A" w:rsidRDefault="004000E8" w:rsidP="00CE0424">
      <w:pPr>
        <w:pStyle w:val="Heading1"/>
      </w:pPr>
      <w:bookmarkStart w:id="0" w:name="_Ref178064866"/>
      <w:r w:rsidRPr="007A602A">
        <w:t>Discussion</w:t>
      </w:r>
      <w:bookmarkEnd w:id="0"/>
    </w:p>
    <w:p w14:paraId="213A5B08" w14:textId="155BC3CF" w:rsidR="00090D5D" w:rsidRPr="00090D5D" w:rsidRDefault="004475F7" w:rsidP="00090D5D">
      <w:pPr>
        <w:spacing w:before="40" w:after="40"/>
        <w:rPr>
          <w:rFonts w:cs="Arial"/>
          <w:iCs/>
        </w:rPr>
      </w:pPr>
      <w:r>
        <w:rPr>
          <w:rFonts w:cs="Arial"/>
          <w:iCs/>
        </w:rPr>
        <w:t>The simulation assumptions follow those defined in TR 36.777</w:t>
      </w:r>
      <w:r w:rsidR="00090D5D">
        <w:rPr>
          <w:rFonts w:cs="Arial"/>
          <w:iCs/>
        </w:rPr>
        <w:t xml:space="preserve"> Section A.2.1 with </w:t>
      </w:r>
      <w:r w:rsidR="00090D5D" w:rsidRPr="00DF1B3E">
        <w:rPr>
          <w:rFonts w:cs="Arial"/>
          <w:b/>
          <w:iCs/>
        </w:rPr>
        <w:t xml:space="preserve">UMa full-buffer </w:t>
      </w:r>
      <w:r w:rsidR="00090D5D">
        <w:rPr>
          <w:rFonts w:cs="Arial"/>
          <w:iCs/>
        </w:rPr>
        <w:t>scenario. The handover failure definition follows TR 36.839</w:t>
      </w:r>
      <w:r>
        <w:rPr>
          <w:rFonts w:cs="Arial"/>
          <w:iCs/>
        </w:rPr>
        <w:t xml:space="preserve">. The </w:t>
      </w:r>
      <w:r w:rsidR="00090D5D">
        <w:rPr>
          <w:rFonts w:cs="Arial"/>
          <w:iCs/>
        </w:rPr>
        <w:t xml:space="preserve">following KPI are captured in this paper. </w:t>
      </w:r>
    </w:p>
    <w:tbl>
      <w:tblPr>
        <w:tblW w:w="8052"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160"/>
        <w:gridCol w:w="1296"/>
        <w:gridCol w:w="4596"/>
      </w:tblGrid>
      <w:tr w:rsidR="000D1D0E" w:rsidRPr="00A75ACF" w14:paraId="07AF1346" w14:textId="77777777" w:rsidTr="006C06FE">
        <w:trPr>
          <w:cantSplit/>
          <w:tblHeader/>
        </w:trPr>
        <w:tc>
          <w:tcPr>
            <w:tcW w:w="2160" w:type="dxa"/>
            <w:tcBorders>
              <w:bottom w:val="single" w:sz="12" w:space="0" w:color="auto"/>
            </w:tcBorders>
            <w:shd w:val="clear" w:color="auto" w:fill="auto"/>
            <w:tcMar>
              <w:top w:w="72" w:type="dxa"/>
              <w:left w:w="144" w:type="dxa"/>
              <w:bottom w:w="72" w:type="dxa"/>
              <w:right w:w="144" w:type="dxa"/>
            </w:tcMar>
            <w:hideMark/>
          </w:tcPr>
          <w:p w14:paraId="02130086" w14:textId="3BFBCC72" w:rsidR="000D1D0E" w:rsidRPr="00A75ACF" w:rsidRDefault="000D1D0E" w:rsidP="000D1D0E">
            <w:pPr>
              <w:pStyle w:val="TAH"/>
            </w:pPr>
            <w:r w:rsidRPr="00A75ACF">
              <w:t>KPI</w:t>
            </w:r>
          </w:p>
        </w:tc>
        <w:tc>
          <w:tcPr>
            <w:tcW w:w="1296" w:type="dxa"/>
            <w:tcBorders>
              <w:bottom w:val="single" w:sz="12" w:space="0" w:color="auto"/>
            </w:tcBorders>
            <w:shd w:val="clear" w:color="auto" w:fill="auto"/>
          </w:tcPr>
          <w:p w14:paraId="2E07CC47" w14:textId="152D776A" w:rsidR="000D1D0E" w:rsidRPr="00A75ACF" w:rsidRDefault="000D1D0E" w:rsidP="000D1D0E">
            <w:pPr>
              <w:pStyle w:val="TAH"/>
            </w:pPr>
            <w:r w:rsidRPr="00A75ACF">
              <w:t>Unit</w:t>
            </w:r>
          </w:p>
        </w:tc>
        <w:tc>
          <w:tcPr>
            <w:tcW w:w="4596" w:type="dxa"/>
            <w:tcBorders>
              <w:bottom w:val="single" w:sz="12" w:space="0" w:color="auto"/>
            </w:tcBorders>
            <w:shd w:val="clear" w:color="auto" w:fill="auto"/>
            <w:tcMar>
              <w:top w:w="72" w:type="dxa"/>
              <w:left w:w="144" w:type="dxa"/>
              <w:bottom w:w="72" w:type="dxa"/>
              <w:right w:w="144" w:type="dxa"/>
            </w:tcMar>
            <w:hideMark/>
          </w:tcPr>
          <w:p w14:paraId="7C349117" w14:textId="2E1A9B64" w:rsidR="000D1D0E" w:rsidRPr="00A75ACF" w:rsidRDefault="000D1D0E" w:rsidP="000D1D0E">
            <w:pPr>
              <w:pStyle w:val="TAH"/>
            </w:pPr>
            <w:r w:rsidRPr="00A75ACF">
              <w:t>Description</w:t>
            </w:r>
          </w:p>
        </w:tc>
      </w:tr>
      <w:tr w:rsidR="000D1D0E" w:rsidRPr="00A75ACF" w14:paraId="41A1F322" w14:textId="77777777" w:rsidTr="006C06FE">
        <w:trPr>
          <w:cantSplit/>
        </w:trPr>
        <w:tc>
          <w:tcPr>
            <w:tcW w:w="2160" w:type="dxa"/>
            <w:tcBorders>
              <w:top w:val="single" w:sz="12" w:space="0" w:color="auto"/>
            </w:tcBorders>
            <w:shd w:val="clear" w:color="auto" w:fill="auto"/>
            <w:tcMar>
              <w:top w:w="72" w:type="dxa"/>
              <w:left w:w="144" w:type="dxa"/>
              <w:bottom w:w="72" w:type="dxa"/>
              <w:right w:w="144" w:type="dxa"/>
            </w:tcMar>
          </w:tcPr>
          <w:p w14:paraId="628317E7" w14:textId="1143FFEF" w:rsidR="000D1D0E" w:rsidRPr="00A75ACF" w:rsidRDefault="000D1D0E" w:rsidP="000D1D0E">
            <w:pPr>
              <w:pStyle w:val="TAL"/>
            </w:pPr>
            <w:r w:rsidRPr="00A75ACF">
              <w:t>Handover rate</w:t>
            </w:r>
          </w:p>
        </w:tc>
        <w:tc>
          <w:tcPr>
            <w:tcW w:w="1296" w:type="dxa"/>
            <w:tcBorders>
              <w:top w:val="single" w:sz="12" w:space="0" w:color="auto"/>
            </w:tcBorders>
            <w:shd w:val="clear" w:color="auto" w:fill="auto"/>
          </w:tcPr>
          <w:p w14:paraId="5A38F0F4" w14:textId="35BC5B31" w:rsidR="000D1D0E" w:rsidRPr="00A75ACF" w:rsidRDefault="000D1D0E" w:rsidP="000D1D0E">
            <w:pPr>
              <w:pStyle w:val="TAL"/>
              <w:jc w:val="center"/>
            </w:pPr>
            <w:r w:rsidRPr="00A75ACF">
              <w:t>HO/UE/sec</w:t>
            </w:r>
          </w:p>
        </w:tc>
        <w:tc>
          <w:tcPr>
            <w:tcW w:w="4596" w:type="dxa"/>
            <w:tcBorders>
              <w:top w:val="single" w:sz="12" w:space="0" w:color="auto"/>
            </w:tcBorders>
            <w:shd w:val="clear" w:color="auto" w:fill="auto"/>
            <w:tcMar>
              <w:top w:w="72" w:type="dxa"/>
              <w:left w:w="144" w:type="dxa"/>
              <w:bottom w:w="72" w:type="dxa"/>
              <w:right w:w="144" w:type="dxa"/>
            </w:tcMar>
          </w:tcPr>
          <w:p w14:paraId="55809A07" w14:textId="153E2BFA" w:rsidR="000D1D0E" w:rsidRPr="00A75ACF" w:rsidRDefault="000D1D0E" w:rsidP="000D1D0E">
            <w:pPr>
              <w:pStyle w:val="TAL"/>
              <w:rPr>
                <w:lang w:eastAsia="ja-JP"/>
              </w:rPr>
            </w:pPr>
            <w:r w:rsidRPr="00A75ACF">
              <w:t>Number of HO attempts over time</w:t>
            </w:r>
            <w:r w:rsidRPr="00A75ACF">
              <w:rPr>
                <w:rFonts w:hint="eastAsia"/>
                <w:lang w:eastAsia="ja-JP"/>
              </w:rPr>
              <w:t xml:space="preserve"> (including HOF)</w:t>
            </w:r>
          </w:p>
        </w:tc>
      </w:tr>
      <w:tr w:rsidR="000D1D0E" w:rsidRPr="00A75ACF" w14:paraId="7F177B40" w14:textId="77777777" w:rsidTr="006C06FE">
        <w:trPr>
          <w:cantSplit/>
        </w:trPr>
        <w:tc>
          <w:tcPr>
            <w:tcW w:w="2160" w:type="dxa"/>
            <w:shd w:val="clear" w:color="auto" w:fill="auto"/>
            <w:tcMar>
              <w:top w:w="72" w:type="dxa"/>
              <w:left w:w="144" w:type="dxa"/>
              <w:bottom w:w="72" w:type="dxa"/>
              <w:right w:w="144" w:type="dxa"/>
            </w:tcMar>
          </w:tcPr>
          <w:p w14:paraId="7CF92B1A" w14:textId="1A695443" w:rsidR="000D1D0E" w:rsidRPr="00A75ACF" w:rsidRDefault="000D1D0E" w:rsidP="000D1D0E">
            <w:pPr>
              <w:pStyle w:val="TAL"/>
            </w:pPr>
            <w:r w:rsidRPr="00A75ACF">
              <w:t>HOF rate</w:t>
            </w:r>
          </w:p>
        </w:tc>
        <w:tc>
          <w:tcPr>
            <w:tcW w:w="1296" w:type="dxa"/>
            <w:shd w:val="clear" w:color="auto" w:fill="auto"/>
          </w:tcPr>
          <w:p w14:paraId="7DF776C8" w14:textId="0089A5B4" w:rsidR="000D1D0E" w:rsidRPr="00A75ACF" w:rsidRDefault="000D1D0E" w:rsidP="000D1D0E">
            <w:pPr>
              <w:pStyle w:val="TAL"/>
              <w:jc w:val="center"/>
              <w:rPr>
                <w:lang w:eastAsia="ja-JP"/>
              </w:rPr>
            </w:pPr>
            <w:r w:rsidRPr="00A75ACF">
              <w:rPr>
                <w:rFonts w:hint="eastAsia"/>
                <w:lang w:eastAsia="ja-JP"/>
              </w:rPr>
              <w:t>%</w:t>
            </w:r>
          </w:p>
        </w:tc>
        <w:tc>
          <w:tcPr>
            <w:tcW w:w="4596" w:type="dxa"/>
            <w:shd w:val="clear" w:color="auto" w:fill="auto"/>
            <w:tcMar>
              <w:top w:w="72" w:type="dxa"/>
              <w:left w:w="144" w:type="dxa"/>
              <w:bottom w:w="72" w:type="dxa"/>
              <w:right w:w="144" w:type="dxa"/>
            </w:tcMar>
          </w:tcPr>
          <w:p w14:paraId="1994DE0E" w14:textId="7FF7F6DB" w:rsidR="000D1D0E" w:rsidRPr="00A75ACF" w:rsidRDefault="000D1D0E" w:rsidP="000D1D0E">
            <w:pPr>
              <w:pStyle w:val="TAL"/>
            </w:pPr>
            <w:r w:rsidRPr="00A75ACF">
              <w:t>Number of HO failures</w:t>
            </w:r>
            <w:r w:rsidRPr="00A75ACF">
              <w:rPr>
                <w:rFonts w:hint="eastAsia"/>
                <w:lang w:eastAsia="ja-JP"/>
              </w:rPr>
              <w:t xml:space="preserve">/Total number of HO attempts </w:t>
            </w:r>
            <w:r w:rsidRPr="00A75ACF">
              <w:t>(including HOF)</w:t>
            </w:r>
          </w:p>
        </w:tc>
      </w:tr>
      <w:tr w:rsidR="000D1D0E" w:rsidRPr="00A75ACF" w14:paraId="48FF30D8" w14:textId="77777777" w:rsidTr="006C06FE">
        <w:trPr>
          <w:cantSplit/>
        </w:trPr>
        <w:tc>
          <w:tcPr>
            <w:tcW w:w="2160" w:type="dxa"/>
            <w:shd w:val="clear" w:color="auto" w:fill="auto"/>
            <w:tcMar>
              <w:top w:w="72" w:type="dxa"/>
              <w:left w:w="144" w:type="dxa"/>
              <w:bottom w:w="72" w:type="dxa"/>
              <w:right w:w="144" w:type="dxa"/>
            </w:tcMar>
          </w:tcPr>
          <w:p w14:paraId="42E040FC" w14:textId="5B34883F" w:rsidR="000D1D0E" w:rsidRPr="00A75ACF" w:rsidRDefault="000D1D0E" w:rsidP="000D1D0E">
            <w:pPr>
              <w:pStyle w:val="TAL"/>
            </w:pPr>
            <w:r w:rsidRPr="00A75ACF">
              <w:t>Radio Link Failure (RLF) rate</w:t>
            </w:r>
          </w:p>
        </w:tc>
        <w:tc>
          <w:tcPr>
            <w:tcW w:w="1296" w:type="dxa"/>
            <w:shd w:val="clear" w:color="auto" w:fill="auto"/>
          </w:tcPr>
          <w:p w14:paraId="3029CB68" w14:textId="1D578195" w:rsidR="000D1D0E" w:rsidRPr="00A75ACF" w:rsidRDefault="000D1D0E" w:rsidP="000D1D0E">
            <w:pPr>
              <w:pStyle w:val="TAL"/>
              <w:jc w:val="center"/>
            </w:pPr>
            <w:r w:rsidRPr="00A75ACF">
              <w:t>RLF/UE/sec</w:t>
            </w:r>
          </w:p>
        </w:tc>
        <w:tc>
          <w:tcPr>
            <w:tcW w:w="4596" w:type="dxa"/>
            <w:shd w:val="clear" w:color="auto" w:fill="auto"/>
            <w:tcMar>
              <w:top w:w="72" w:type="dxa"/>
              <w:left w:w="144" w:type="dxa"/>
              <w:bottom w:w="72" w:type="dxa"/>
              <w:right w:w="144" w:type="dxa"/>
            </w:tcMar>
          </w:tcPr>
          <w:p w14:paraId="4E6D0FAD" w14:textId="0E4BAF4D" w:rsidR="000D1D0E" w:rsidRPr="00A75ACF" w:rsidRDefault="000D1D0E" w:rsidP="000D1D0E">
            <w:pPr>
              <w:pStyle w:val="TAL"/>
            </w:pPr>
            <w:r w:rsidRPr="00A75ACF">
              <w:t>Number of RLFs over time</w:t>
            </w:r>
          </w:p>
        </w:tc>
      </w:tr>
      <w:tr w:rsidR="000D1D0E" w:rsidRPr="00A75ACF" w14:paraId="68C4FD4E" w14:textId="77777777" w:rsidTr="006C06FE">
        <w:trPr>
          <w:cantSplit/>
        </w:trPr>
        <w:tc>
          <w:tcPr>
            <w:tcW w:w="2160" w:type="dxa"/>
            <w:shd w:val="clear" w:color="auto" w:fill="auto"/>
            <w:tcMar>
              <w:top w:w="72" w:type="dxa"/>
              <w:left w:w="144" w:type="dxa"/>
              <w:bottom w:w="72" w:type="dxa"/>
              <w:right w:w="144" w:type="dxa"/>
            </w:tcMar>
          </w:tcPr>
          <w:p w14:paraId="0101B5E0" w14:textId="375A34C9" w:rsidR="000D1D0E" w:rsidRPr="00A75ACF" w:rsidRDefault="000D1D0E" w:rsidP="000D1D0E">
            <w:pPr>
              <w:pStyle w:val="TAL"/>
            </w:pPr>
            <w:r w:rsidRPr="00A75ACF">
              <w:t>Time in handoff</w:t>
            </w:r>
          </w:p>
        </w:tc>
        <w:tc>
          <w:tcPr>
            <w:tcW w:w="1296" w:type="dxa"/>
            <w:shd w:val="clear" w:color="auto" w:fill="auto"/>
          </w:tcPr>
          <w:p w14:paraId="39AAF8F7" w14:textId="339D236F" w:rsidR="000D1D0E" w:rsidRPr="00A75ACF" w:rsidRDefault="000D1D0E" w:rsidP="000D1D0E">
            <w:pPr>
              <w:pStyle w:val="TAL"/>
              <w:jc w:val="center"/>
            </w:pPr>
            <w:r w:rsidRPr="00A75ACF">
              <w:t>%</w:t>
            </w:r>
          </w:p>
        </w:tc>
        <w:tc>
          <w:tcPr>
            <w:tcW w:w="4596" w:type="dxa"/>
            <w:shd w:val="clear" w:color="auto" w:fill="auto"/>
            <w:tcMar>
              <w:top w:w="72" w:type="dxa"/>
              <w:left w:w="144" w:type="dxa"/>
              <w:bottom w:w="72" w:type="dxa"/>
              <w:right w:w="144" w:type="dxa"/>
            </w:tcMar>
          </w:tcPr>
          <w:p w14:paraId="6F1DE41C" w14:textId="786EE633" w:rsidR="000D1D0E" w:rsidRPr="00A75ACF" w:rsidRDefault="000D1D0E" w:rsidP="000D1D0E">
            <w:pPr>
              <w:pStyle w:val="TAL"/>
              <w:rPr>
                <w:lang w:eastAsia="ja-JP"/>
              </w:rPr>
            </w:pPr>
            <w:r w:rsidRPr="00A75ACF">
              <w:t>Fraction of time a UE is in HO procedure</w:t>
            </w:r>
            <w:r>
              <w:rPr>
                <w:rFonts w:hint="eastAsia"/>
                <w:lang w:eastAsia="ja-JP"/>
              </w:rPr>
              <w:t xml:space="preserve"> </w:t>
            </w:r>
            <w:r>
              <w:t>including time for successful HO (HO execution delay) and HOF (reestablishment delay)</w:t>
            </w:r>
          </w:p>
        </w:tc>
      </w:tr>
      <w:tr w:rsidR="000D1D0E" w:rsidRPr="00A75ACF" w14:paraId="7E11979E" w14:textId="77777777" w:rsidTr="006C06FE">
        <w:trPr>
          <w:cantSplit/>
        </w:trPr>
        <w:tc>
          <w:tcPr>
            <w:tcW w:w="2160" w:type="dxa"/>
            <w:shd w:val="clear" w:color="auto" w:fill="auto"/>
            <w:tcMar>
              <w:top w:w="72" w:type="dxa"/>
              <w:left w:w="144" w:type="dxa"/>
              <w:bottom w:w="72" w:type="dxa"/>
              <w:right w:w="144" w:type="dxa"/>
            </w:tcMar>
          </w:tcPr>
          <w:p w14:paraId="301C5ABF" w14:textId="64204274" w:rsidR="000D1D0E" w:rsidRPr="00A75ACF" w:rsidRDefault="000D1D0E" w:rsidP="000D1D0E">
            <w:pPr>
              <w:pStyle w:val="TAL"/>
            </w:pPr>
            <w:r w:rsidRPr="00A75ACF">
              <w:t>Ping</w:t>
            </w:r>
            <w:r w:rsidRPr="00A75ACF">
              <w:rPr>
                <w:rFonts w:hint="eastAsia"/>
                <w:lang w:eastAsia="ja-JP"/>
              </w:rPr>
              <w:t xml:space="preserve"> </w:t>
            </w:r>
            <w:r>
              <w:t>pong rate</w:t>
            </w:r>
          </w:p>
        </w:tc>
        <w:tc>
          <w:tcPr>
            <w:tcW w:w="1296" w:type="dxa"/>
            <w:shd w:val="clear" w:color="auto" w:fill="auto"/>
          </w:tcPr>
          <w:p w14:paraId="4AD217E5" w14:textId="787C6248" w:rsidR="000D1D0E" w:rsidRPr="00A75ACF" w:rsidRDefault="000D1D0E" w:rsidP="000D1D0E">
            <w:pPr>
              <w:pStyle w:val="TAL"/>
              <w:jc w:val="center"/>
              <w:rPr>
                <w:lang w:eastAsia="ja-JP"/>
              </w:rPr>
            </w:pPr>
            <w:r w:rsidRPr="00A75ACF">
              <w:rPr>
                <w:rFonts w:hint="eastAsia"/>
                <w:lang w:eastAsia="ja-JP"/>
              </w:rPr>
              <w:t>%</w:t>
            </w:r>
          </w:p>
        </w:tc>
        <w:tc>
          <w:tcPr>
            <w:tcW w:w="4596" w:type="dxa"/>
            <w:shd w:val="clear" w:color="auto" w:fill="auto"/>
            <w:tcMar>
              <w:top w:w="72" w:type="dxa"/>
              <w:left w:w="144" w:type="dxa"/>
              <w:bottom w:w="72" w:type="dxa"/>
              <w:right w:w="144" w:type="dxa"/>
            </w:tcMar>
          </w:tcPr>
          <w:p w14:paraId="78EB831B" w14:textId="0605F773" w:rsidR="000D1D0E" w:rsidRPr="00A75ACF" w:rsidRDefault="000D1D0E" w:rsidP="000D1D0E">
            <w:pPr>
              <w:pStyle w:val="TAL"/>
            </w:pPr>
            <w:r w:rsidRPr="00A75ACF">
              <w:rPr>
                <w:rFonts w:hint="eastAsia"/>
                <w:lang w:eastAsia="ja-JP"/>
              </w:rPr>
              <w:t>N</w:t>
            </w:r>
            <w:r w:rsidRPr="00A75ACF">
              <w:rPr>
                <w:rFonts w:eastAsia="Malgun Gothic"/>
                <w:lang w:eastAsia="ko-KR"/>
              </w:rPr>
              <w:t>umber of ping-pongs/</w:t>
            </w:r>
            <w:r w:rsidRPr="00A75ACF">
              <w:rPr>
                <w:rFonts w:hint="eastAsia"/>
                <w:lang w:eastAsia="ja-JP"/>
              </w:rPr>
              <w:t>T</w:t>
            </w:r>
            <w:r w:rsidRPr="00A75ACF">
              <w:rPr>
                <w:rFonts w:eastAsia="Malgun Gothic"/>
                <w:lang w:eastAsia="ko-KR"/>
              </w:rPr>
              <w:t xml:space="preserve">otal number of successful handovers </w:t>
            </w:r>
            <w:r w:rsidRPr="00A75ACF">
              <w:rPr>
                <w:rFonts w:hint="eastAsia"/>
                <w:lang w:eastAsia="ja-JP"/>
              </w:rPr>
              <w:t>(</w:t>
            </w:r>
            <w:r w:rsidRPr="00A75ACF">
              <w:rPr>
                <w:rFonts w:eastAsia="Batang"/>
                <w:lang w:eastAsia="ja-JP"/>
              </w:rPr>
              <w:t>excl</w:t>
            </w:r>
            <w:r w:rsidRPr="00A75ACF">
              <w:rPr>
                <w:rFonts w:hint="eastAsia"/>
                <w:lang w:eastAsia="ja-JP"/>
              </w:rPr>
              <w:t>uding</w:t>
            </w:r>
            <w:r w:rsidRPr="00A75ACF">
              <w:rPr>
                <w:rFonts w:eastAsia="Batang"/>
                <w:lang w:eastAsia="ja-JP"/>
              </w:rPr>
              <w:t xml:space="preserve"> handover failures</w:t>
            </w:r>
            <w:r w:rsidRPr="00A75ACF">
              <w:rPr>
                <w:rFonts w:eastAsia="Malgun Gothic"/>
                <w:lang w:eastAsia="ko-KR"/>
              </w:rPr>
              <w:t>)</w:t>
            </w:r>
          </w:p>
        </w:tc>
      </w:tr>
    </w:tbl>
    <w:p w14:paraId="3F26CC39" w14:textId="6ED35C2F" w:rsidR="009A28A4" w:rsidRDefault="009A28A4" w:rsidP="00CE0424">
      <w:pPr>
        <w:pStyle w:val="BodyText"/>
        <w:rPr>
          <w:rFonts w:cs="Arial"/>
        </w:rPr>
      </w:pPr>
    </w:p>
    <w:p w14:paraId="3D8476D4" w14:textId="449640D0" w:rsidR="00057318" w:rsidRDefault="00057318" w:rsidP="00057318">
      <w:pPr>
        <w:pStyle w:val="Heading2"/>
      </w:pPr>
      <w:r>
        <w:lastRenderedPageBreak/>
        <w:t>UMa full buffer</w:t>
      </w:r>
    </w:p>
    <w:p w14:paraId="1C9E3AE0" w14:textId="77777777" w:rsidR="00C67B33" w:rsidRDefault="00C67B33" w:rsidP="00C67B33">
      <w:pPr>
        <w:keepNext/>
        <w:jc w:val="center"/>
      </w:pPr>
      <w:r>
        <w:rPr>
          <w:noProof/>
        </w:rPr>
        <w:drawing>
          <wp:inline distT="0" distB="0" distL="0" distR="0" wp14:anchorId="6BDC0FEE" wp14:editId="0C4B823D">
            <wp:extent cx="4067175" cy="2009775"/>
            <wp:effectExtent l="0" t="0" r="9525" b="9525"/>
            <wp:docPr id="1" name="Chart 1">
              <a:extLst xmlns:a="http://schemas.openxmlformats.org/drawingml/2006/main">
                <a:ext uri="{FF2B5EF4-FFF2-40B4-BE49-F238E27FC236}">
                  <a16:creationId xmlns:a16="http://schemas.microsoft.com/office/drawing/2014/main" id="{DB1B9B76-0B94-478C-9291-36563963EE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D456FB9" w14:textId="4465E00A" w:rsidR="00C67B33" w:rsidRDefault="00C67B33" w:rsidP="00C67B33">
      <w:pPr>
        <w:pStyle w:val="Caption"/>
        <w:jc w:val="left"/>
      </w:pPr>
      <w:bookmarkStart w:id="1" w:name="_Ref498636516"/>
      <w:r>
        <w:t xml:space="preserve">Figure </w:t>
      </w:r>
      <w:fldSimple w:instr=" SEQ Figure \* ARABIC ">
        <w:r>
          <w:rPr>
            <w:noProof/>
          </w:rPr>
          <w:t>1</w:t>
        </w:r>
      </w:fldSimple>
      <w:bookmarkEnd w:id="1"/>
      <w:r>
        <w:t xml:space="preserve"> </w:t>
      </w:r>
      <w:r w:rsidRPr="00A75ACF">
        <w:t>Radio Link Failure (RLF) rate</w:t>
      </w:r>
      <w:r>
        <w:t>, RLF/UE/s</w:t>
      </w:r>
      <w:r w:rsidR="005C41B8">
        <w:t>ec</w:t>
      </w:r>
    </w:p>
    <w:p w14:paraId="3F77E9A0" w14:textId="3E50A1F7" w:rsidR="009454D8" w:rsidRPr="00756607" w:rsidRDefault="009454D8" w:rsidP="009454D8">
      <w:r w:rsidRPr="00756607">
        <w:t>Since a UE at higher altitudes sees many cells that are not detectable on the ground, the amount of interference is higher for drones compared to terrestrial UEs, hence the SINR becomes worse. One reason for RLF to occur is that the physical layer determines that the quality of the signal is poor and hence the expected Packet Loss Rate goes</w:t>
      </w:r>
      <w:r>
        <w:t xml:space="preserve"> above a threshold. </w:t>
      </w:r>
      <w:r w:rsidRPr="00756607">
        <w:t>This is also what we observe in the simulations as shown in</w:t>
      </w:r>
      <w:r>
        <w:t xml:space="preserve"> </w:t>
      </w:r>
      <w:r>
        <w:fldChar w:fldCharType="begin"/>
      </w:r>
      <w:r>
        <w:instrText xml:space="preserve"> REF _Ref498636516 \h </w:instrText>
      </w:r>
      <w:r>
        <w:fldChar w:fldCharType="separate"/>
      </w:r>
      <w:r w:rsidR="001F75AE">
        <w:t xml:space="preserve">Figure </w:t>
      </w:r>
      <w:r w:rsidR="001F75AE">
        <w:rPr>
          <w:noProof/>
        </w:rPr>
        <w:t>1</w:t>
      </w:r>
      <w:r>
        <w:fldChar w:fldCharType="end"/>
      </w:r>
      <w:r w:rsidRPr="00756607">
        <w:t xml:space="preserve"> </w:t>
      </w:r>
      <w:r>
        <w:t xml:space="preserve">above, </w:t>
      </w:r>
      <w:r w:rsidRPr="00756607">
        <w:t xml:space="preserve">which shows RLF rate </w:t>
      </w:r>
      <w:r>
        <w:t>increase</w:t>
      </w:r>
      <w:r w:rsidR="000E4055">
        <w:t>s</w:t>
      </w:r>
      <w:r>
        <w:t xml:space="preserve"> </w:t>
      </w:r>
      <w:r w:rsidRPr="00756607">
        <w:t xml:space="preserve">with </w:t>
      </w:r>
      <w:r>
        <w:t xml:space="preserve">higher </w:t>
      </w:r>
      <w:r w:rsidRPr="00756607">
        <w:t>altitude</w:t>
      </w:r>
      <w:r>
        <w:t xml:space="preserve">, at least in a low-to-medium speed. </w:t>
      </w:r>
    </w:p>
    <w:p w14:paraId="5052232C" w14:textId="53941246" w:rsidR="001F75AE" w:rsidRDefault="001F75AE" w:rsidP="00090D5D">
      <w:pPr>
        <w:keepNext/>
        <w:rPr>
          <w:noProof/>
          <w:lang w:val="en-GB"/>
        </w:rPr>
      </w:pPr>
    </w:p>
    <w:p w14:paraId="02FDC414" w14:textId="77777777" w:rsidR="00C67B33" w:rsidRDefault="00C67B33" w:rsidP="00C67B33">
      <w:pPr>
        <w:keepNext/>
        <w:jc w:val="center"/>
      </w:pPr>
      <w:r>
        <w:rPr>
          <w:noProof/>
        </w:rPr>
        <w:drawing>
          <wp:inline distT="0" distB="0" distL="0" distR="0" wp14:anchorId="338875A3" wp14:editId="63AA2908">
            <wp:extent cx="4269850" cy="1885702"/>
            <wp:effectExtent l="0" t="0" r="16510" b="635"/>
            <wp:docPr id="3" name="Chart 3">
              <a:extLst xmlns:a="http://schemas.openxmlformats.org/drawingml/2006/main">
                <a:ext uri="{FF2B5EF4-FFF2-40B4-BE49-F238E27FC236}">
                  <a16:creationId xmlns:a16="http://schemas.microsoft.com/office/drawing/2014/main" id="{09A45689-3B31-4268-B1D4-8D0BDF9AB9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C57E7B7" w14:textId="77777777" w:rsidR="00C67B33" w:rsidRDefault="00C67B33" w:rsidP="00C67B33">
      <w:pPr>
        <w:pStyle w:val="Caption"/>
      </w:pPr>
      <w:bookmarkStart w:id="2" w:name="_Ref498637819"/>
      <w:r>
        <w:rPr>
          <w:noProof/>
        </w:rPr>
        <w:drawing>
          <wp:inline distT="0" distB="0" distL="0" distR="0" wp14:anchorId="7D4A0E0B" wp14:editId="1ED696A9">
            <wp:extent cx="4067175" cy="2028825"/>
            <wp:effectExtent l="0" t="0" r="9525" b="9525"/>
            <wp:docPr id="5" name="Chart 5">
              <a:extLst xmlns:a="http://schemas.openxmlformats.org/drawingml/2006/main">
                <a:ext uri="{FF2B5EF4-FFF2-40B4-BE49-F238E27FC236}">
                  <a16:creationId xmlns:a16="http://schemas.microsoft.com/office/drawing/2014/main" id="{590D54E4-2118-4F57-8D84-CAEF0A92FC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3613704" w14:textId="387B643E" w:rsidR="00C67B33" w:rsidRDefault="00C67B33" w:rsidP="00C67B33">
      <w:pPr>
        <w:pStyle w:val="Caption"/>
        <w:jc w:val="left"/>
      </w:pPr>
      <w:r>
        <w:t xml:space="preserve">Figure </w:t>
      </w:r>
      <w:fldSimple w:instr=" SEQ Figure \* ARABIC ">
        <w:r>
          <w:rPr>
            <w:noProof/>
          </w:rPr>
          <w:t>2</w:t>
        </w:r>
      </w:fldSimple>
      <w:bookmarkEnd w:id="2"/>
      <w:r w:rsidRPr="001E4B7F">
        <w:t xml:space="preserve"> </w:t>
      </w:r>
      <w:r w:rsidRPr="00A75ACF">
        <w:t>HOF rate</w:t>
      </w:r>
      <w:r>
        <w:t xml:space="preserve"> in percentage (top); </w:t>
      </w:r>
      <w:r w:rsidRPr="00A75ACF">
        <w:t>Handover rate</w:t>
      </w:r>
      <w:r>
        <w:t xml:space="preserve">, </w:t>
      </w:r>
      <w:r w:rsidRPr="00A75ACF">
        <w:t>HO/UE/sec</w:t>
      </w:r>
      <w:r>
        <w:t xml:space="preserve"> (down) </w:t>
      </w:r>
    </w:p>
    <w:p w14:paraId="287F0181" w14:textId="7BB39B85" w:rsidR="004475F7" w:rsidRDefault="001F75AE" w:rsidP="004475F7">
      <w:pPr>
        <w:rPr>
          <w:lang w:val="en-GB"/>
        </w:rPr>
      </w:pPr>
      <w:r>
        <w:rPr>
          <w:lang w:val="en-GB"/>
        </w:rPr>
        <w:t xml:space="preserve">We also observe a higher fraction of handover failure with higher altitude. But the total number of HO decreases </w:t>
      </w:r>
      <w:r w:rsidR="009454D8">
        <w:rPr>
          <w:lang w:val="en-GB"/>
        </w:rPr>
        <w:t xml:space="preserve">with </w:t>
      </w:r>
      <w:r>
        <w:rPr>
          <w:lang w:val="en-GB"/>
        </w:rPr>
        <w:t xml:space="preserve">an </w:t>
      </w:r>
      <w:r w:rsidR="009454D8">
        <w:rPr>
          <w:lang w:val="en-GB"/>
        </w:rPr>
        <w:t>increasing height.</w:t>
      </w:r>
      <w:r>
        <w:rPr>
          <w:lang w:val="en-GB"/>
        </w:rPr>
        <w:t xml:space="preserve"> Combined with the above </w:t>
      </w:r>
      <w:r>
        <w:rPr>
          <w:lang w:val="en-GB"/>
        </w:rPr>
        <w:fldChar w:fldCharType="begin"/>
      </w:r>
      <w:r>
        <w:rPr>
          <w:lang w:val="en-GB"/>
        </w:rPr>
        <w:instrText xml:space="preserve"> REF _Ref498636516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on RLF, one possible explanation is </w:t>
      </w:r>
      <w:r>
        <w:rPr>
          <w:lang w:val="en-GB"/>
        </w:rPr>
        <w:lastRenderedPageBreak/>
        <w:t xml:space="preserve">that </w:t>
      </w:r>
      <w:r w:rsidR="000C05BF">
        <w:rPr>
          <w:lang w:val="en-GB"/>
        </w:rPr>
        <w:t xml:space="preserve">those aerials UEs in high altitude are more likely not able to enter the handover phase due to a </w:t>
      </w:r>
      <w:r w:rsidR="00625B40">
        <w:rPr>
          <w:lang w:val="en-GB"/>
        </w:rPr>
        <w:t>strong</w:t>
      </w:r>
      <w:r w:rsidR="000C05BF">
        <w:rPr>
          <w:lang w:val="en-GB"/>
        </w:rPr>
        <w:t xml:space="preserve"> interference.  </w:t>
      </w:r>
    </w:p>
    <w:p w14:paraId="35A55B48" w14:textId="77777777" w:rsidR="00717875" w:rsidRDefault="00717875" w:rsidP="004475F7">
      <w:pPr>
        <w:rPr>
          <w:lang w:val="en-GB"/>
        </w:rPr>
      </w:pPr>
    </w:p>
    <w:p w14:paraId="5CC7D1BD" w14:textId="629F34B7" w:rsidR="000D1D0E" w:rsidRDefault="00C67B33" w:rsidP="000C05BF">
      <w:pPr>
        <w:keepNext/>
        <w:jc w:val="center"/>
      </w:pPr>
      <w:r>
        <w:rPr>
          <w:noProof/>
        </w:rPr>
        <w:drawing>
          <wp:inline distT="0" distB="0" distL="0" distR="0" wp14:anchorId="10B64286" wp14:editId="76DF1EDF">
            <wp:extent cx="4067175" cy="2028825"/>
            <wp:effectExtent l="0" t="0" r="9525" b="9525"/>
            <wp:docPr id="9" name="Chart 9">
              <a:extLst xmlns:a="http://schemas.openxmlformats.org/drawingml/2006/main">
                <a:ext uri="{FF2B5EF4-FFF2-40B4-BE49-F238E27FC236}">
                  <a16:creationId xmlns:a16="http://schemas.microsoft.com/office/drawing/2014/main" id="{AE8815FD-24F1-414E-B0C1-971C66CCC6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F6EB56" w14:textId="2F64EAF3" w:rsidR="000D1D0E" w:rsidRPr="000D1D0E" w:rsidRDefault="000D1D0E" w:rsidP="000D1D0E">
      <w:pPr>
        <w:pStyle w:val="Caption"/>
        <w:jc w:val="left"/>
        <w:rPr>
          <w:lang w:val="en-GB"/>
        </w:rPr>
      </w:pPr>
      <w:bookmarkStart w:id="3" w:name="_Ref498637735"/>
      <w:r>
        <w:t xml:space="preserve">Figure </w:t>
      </w:r>
      <w:fldSimple w:instr=" SEQ Figure \* ARABIC ">
        <w:r w:rsidR="001F75AE">
          <w:rPr>
            <w:noProof/>
          </w:rPr>
          <w:t>3</w:t>
        </w:r>
      </w:fldSimple>
      <w:bookmarkEnd w:id="3"/>
      <w:r>
        <w:t xml:space="preserve"> Time in handoff</w:t>
      </w:r>
    </w:p>
    <w:p w14:paraId="3847FB43" w14:textId="492D0655" w:rsidR="00057318" w:rsidRDefault="000C05BF" w:rsidP="00CE0424">
      <w:pPr>
        <w:pStyle w:val="BodyText"/>
        <w:rPr>
          <w:rFonts w:cs="Arial"/>
        </w:rPr>
      </w:pPr>
      <w:r>
        <w:rPr>
          <w:rFonts w:cs="Arial"/>
        </w:rPr>
        <w:t xml:space="preserve">Since </w:t>
      </w:r>
      <w:r>
        <w:rPr>
          <w:lang w:val="en-GB"/>
        </w:rPr>
        <w:t xml:space="preserve">the total number of HO decreases with an increasing height, the fraction of time in handover also decreases with height, shown in </w:t>
      </w:r>
      <w:r>
        <w:rPr>
          <w:lang w:val="en-GB"/>
        </w:rPr>
        <w:fldChar w:fldCharType="begin"/>
      </w:r>
      <w:r>
        <w:rPr>
          <w:lang w:val="en-GB"/>
        </w:rPr>
        <w:instrText xml:space="preserve"> REF _Ref498637735 \h </w:instrText>
      </w:r>
      <w:r>
        <w:rPr>
          <w:lang w:val="en-GB"/>
        </w:rPr>
      </w:r>
      <w:r>
        <w:rPr>
          <w:lang w:val="en-GB"/>
        </w:rPr>
        <w:fldChar w:fldCharType="separate"/>
      </w:r>
      <w:r>
        <w:t xml:space="preserve">Figure </w:t>
      </w:r>
      <w:r>
        <w:rPr>
          <w:noProof/>
        </w:rPr>
        <w:t>3</w:t>
      </w:r>
      <w:r>
        <w:rPr>
          <w:lang w:val="en-GB"/>
        </w:rPr>
        <w:fldChar w:fldCharType="end"/>
      </w:r>
      <w:r>
        <w:rPr>
          <w:lang w:val="en-GB"/>
        </w:rPr>
        <w:t xml:space="preserve">.  Note that in both </w:t>
      </w:r>
      <w:r>
        <w:rPr>
          <w:lang w:val="en-GB"/>
        </w:rPr>
        <w:fldChar w:fldCharType="begin"/>
      </w:r>
      <w:r>
        <w:rPr>
          <w:lang w:val="en-GB"/>
        </w:rPr>
        <w:instrText xml:space="preserve"> REF _Ref498637819 \h </w:instrText>
      </w:r>
      <w:r>
        <w:rPr>
          <w:lang w:val="en-GB"/>
        </w:rPr>
      </w:r>
      <w:r>
        <w:rPr>
          <w:lang w:val="en-GB"/>
        </w:rPr>
        <w:fldChar w:fldCharType="separate"/>
      </w:r>
      <w:r>
        <w:t xml:space="preserve">Figure </w:t>
      </w:r>
      <w:r>
        <w:rPr>
          <w:noProof/>
        </w:rPr>
        <w:t>2</w:t>
      </w:r>
      <w:r>
        <w:rPr>
          <w:lang w:val="en-GB"/>
        </w:rPr>
        <w:fldChar w:fldCharType="end"/>
      </w:r>
      <w:r>
        <w:rPr>
          <w:lang w:val="en-GB"/>
        </w:rPr>
        <w:t xml:space="preserve"> and </w:t>
      </w:r>
      <w:r>
        <w:rPr>
          <w:lang w:val="en-GB"/>
        </w:rPr>
        <w:fldChar w:fldCharType="begin"/>
      </w:r>
      <w:r>
        <w:rPr>
          <w:lang w:val="en-GB"/>
        </w:rPr>
        <w:instrText xml:space="preserve"> REF _Ref498637735 \h </w:instrText>
      </w:r>
      <w:r>
        <w:rPr>
          <w:lang w:val="en-GB"/>
        </w:rPr>
      </w:r>
      <w:r>
        <w:rPr>
          <w:lang w:val="en-GB"/>
        </w:rPr>
        <w:fldChar w:fldCharType="separate"/>
      </w:r>
      <w:r>
        <w:t xml:space="preserve">Figure </w:t>
      </w:r>
      <w:r>
        <w:rPr>
          <w:noProof/>
        </w:rPr>
        <w:t>3</w:t>
      </w:r>
      <w:r>
        <w:rPr>
          <w:lang w:val="en-GB"/>
        </w:rPr>
        <w:fldChar w:fldCharType="end"/>
      </w:r>
      <w:r>
        <w:rPr>
          <w:lang w:val="en-GB"/>
        </w:rPr>
        <w:t>, a higher number of handover</w:t>
      </w:r>
      <w:r w:rsidR="00717875">
        <w:rPr>
          <w:lang w:val="en-GB"/>
        </w:rPr>
        <w:t>s and a longer timer in handoff are</w:t>
      </w:r>
      <w:r>
        <w:rPr>
          <w:lang w:val="en-GB"/>
        </w:rPr>
        <w:t xml:space="preserve"> observed with a higher speed. </w:t>
      </w:r>
    </w:p>
    <w:p w14:paraId="4C6B7564" w14:textId="77777777" w:rsidR="000C05BF" w:rsidRDefault="000C05BF" w:rsidP="000D1D0E">
      <w:pPr>
        <w:pStyle w:val="BodyText"/>
        <w:keepNext/>
        <w:rPr>
          <w:rFonts w:cs="Arial"/>
          <w:noProof/>
        </w:rPr>
      </w:pPr>
    </w:p>
    <w:p w14:paraId="5EE28683" w14:textId="758F61B4" w:rsidR="000D1D0E" w:rsidRDefault="00C67B33" w:rsidP="000C05BF">
      <w:pPr>
        <w:pStyle w:val="BodyText"/>
        <w:keepNext/>
        <w:jc w:val="center"/>
      </w:pPr>
      <w:r>
        <w:rPr>
          <w:noProof/>
        </w:rPr>
        <w:drawing>
          <wp:inline distT="0" distB="0" distL="0" distR="0" wp14:anchorId="4A269267" wp14:editId="6F97D245">
            <wp:extent cx="4067175" cy="2028825"/>
            <wp:effectExtent l="0" t="0" r="9525" b="9525"/>
            <wp:docPr id="10" name="Chart 10">
              <a:extLst xmlns:a="http://schemas.openxmlformats.org/drawingml/2006/main">
                <a:ext uri="{FF2B5EF4-FFF2-40B4-BE49-F238E27FC236}">
                  <a16:creationId xmlns:a16="http://schemas.microsoft.com/office/drawing/2014/main" id="{C2FB5C2D-32AB-4299-80D6-62E44C31EA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BC5F957" w14:textId="2673C845" w:rsidR="000D1D0E" w:rsidRDefault="000D1D0E" w:rsidP="000D1D0E">
      <w:pPr>
        <w:pStyle w:val="Caption"/>
        <w:jc w:val="left"/>
      </w:pPr>
      <w:bookmarkStart w:id="4" w:name="_Ref498637901"/>
      <w:r>
        <w:t xml:space="preserve">Figure </w:t>
      </w:r>
      <w:fldSimple w:instr=" SEQ Figure \* ARABIC ">
        <w:r w:rsidR="001F75AE">
          <w:rPr>
            <w:noProof/>
          </w:rPr>
          <w:t>4</w:t>
        </w:r>
      </w:fldSimple>
      <w:bookmarkEnd w:id="4"/>
      <w:r w:rsidR="005C41B8">
        <w:t xml:space="preserve"> </w:t>
      </w:r>
      <w:r w:rsidR="005C41B8" w:rsidRPr="00A75ACF">
        <w:t>Ping</w:t>
      </w:r>
      <w:r w:rsidR="005C41B8" w:rsidRPr="00A75ACF">
        <w:rPr>
          <w:rFonts w:hint="eastAsia"/>
          <w:lang w:eastAsia="ja-JP"/>
        </w:rPr>
        <w:t xml:space="preserve"> </w:t>
      </w:r>
      <w:r w:rsidR="005C41B8">
        <w:t>pong rate in percentage</w:t>
      </w:r>
    </w:p>
    <w:p w14:paraId="7E287370" w14:textId="573A4B7F" w:rsidR="000C05BF" w:rsidRPr="000C05BF" w:rsidRDefault="000C05BF" w:rsidP="000C05BF">
      <w:r>
        <w:fldChar w:fldCharType="begin"/>
      </w:r>
      <w:r>
        <w:instrText xml:space="preserve"> REF _Ref498637901 \h </w:instrText>
      </w:r>
      <w:r>
        <w:fldChar w:fldCharType="separate"/>
      </w:r>
      <w:r>
        <w:t xml:space="preserve">Figure </w:t>
      </w:r>
      <w:r>
        <w:rPr>
          <w:noProof/>
        </w:rPr>
        <w:t>4</w:t>
      </w:r>
      <w:r>
        <w:fldChar w:fldCharType="end"/>
      </w:r>
      <w:r>
        <w:t xml:space="preserve"> shows that the ping-pong rate does not depend on the speed. </w:t>
      </w:r>
      <w:r w:rsidR="00716A88">
        <w:t xml:space="preserve">In addition, </w:t>
      </w:r>
      <w:r w:rsidR="0007715D">
        <w:t xml:space="preserve">a smaller </w:t>
      </w:r>
      <w:r>
        <w:t xml:space="preserve">ping-pong </w:t>
      </w:r>
      <w:r w:rsidR="0007715D">
        <w:t xml:space="preserve">rate </w:t>
      </w:r>
      <w:r>
        <w:t xml:space="preserve">is observed with a higher </w:t>
      </w:r>
      <w:r w:rsidR="00716A88">
        <w:t>altitude</w:t>
      </w:r>
      <w:r>
        <w:t xml:space="preserve">. </w:t>
      </w:r>
    </w:p>
    <w:p w14:paraId="0FD1F94E" w14:textId="34B6C236" w:rsidR="000D1D0E" w:rsidRDefault="000D1D0E" w:rsidP="00CE0424">
      <w:pPr>
        <w:pStyle w:val="BodyText"/>
        <w:rPr>
          <w:rFonts w:cs="Arial"/>
        </w:rPr>
      </w:pPr>
    </w:p>
    <w:p w14:paraId="2C1912C2" w14:textId="1FD62961" w:rsidR="00716A88" w:rsidRPr="00756607" w:rsidRDefault="00716A88" w:rsidP="00716A88">
      <w:r w:rsidRPr="00756607">
        <w:t>These results suggest that one of the largest problems impacting mobility performance is the massive interference</w:t>
      </w:r>
      <w:r>
        <w:t xml:space="preserve"> which is prominent when number of drone UEs in the network</w:t>
      </w:r>
      <w:r w:rsidR="00C6141E">
        <w:t xml:space="preserve"> is large</w:t>
      </w:r>
      <w:r w:rsidRPr="00756607">
        <w:t xml:space="preserve">. </w:t>
      </w:r>
    </w:p>
    <w:p w14:paraId="58F1666E" w14:textId="7D2331C8" w:rsidR="00716A88" w:rsidRPr="00756607" w:rsidRDefault="00716A88" w:rsidP="00716A88">
      <w:pPr>
        <w:pStyle w:val="Observation"/>
      </w:pPr>
      <w:bookmarkStart w:id="5" w:name="_Toc498638424"/>
      <w:bookmarkStart w:id="6" w:name="_Toc498648996"/>
      <w:bookmarkStart w:id="7" w:name="_Toc498649488"/>
      <w:bookmarkStart w:id="8" w:name="_Toc498649748"/>
      <w:bookmarkStart w:id="9" w:name="_Toc498649750"/>
      <w:bookmarkStart w:id="10" w:name="_Toc498649782"/>
      <w:r w:rsidRPr="00756607">
        <w:t>One potential problem for mobility is RLF due to interference</w:t>
      </w:r>
      <w:r>
        <w:t xml:space="preserve"> which is prominent when number of d</w:t>
      </w:r>
      <w:r w:rsidR="00C6141E">
        <w:t>rone UEs in the network is large</w:t>
      </w:r>
      <w:r w:rsidRPr="00756607">
        <w:t>.</w:t>
      </w:r>
      <w:bookmarkEnd w:id="5"/>
      <w:bookmarkEnd w:id="6"/>
      <w:bookmarkEnd w:id="7"/>
      <w:bookmarkEnd w:id="8"/>
      <w:bookmarkEnd w:id="9"/>
      <w:bookmarkEnd w:id="10"/>
      <w:r w:rsidRPr="00756607">
        <w:t xml:space="preserve"> </w:t>
      </w:r>
    </w:p>
    <w:p w14:paraId="3FF36E84" w14:textId="77777777" w:rsidR="00716A88" w:rsidRPr="00CE0424" w:rsidRDefault="00716A88" w:rsidP="00716A88">
      <w:pPr>
        <w:pStyle w:val="Heading1"/>
      </w:pPr>
      <w:r w:rsidRPr="00CE0424">
        <w:lastRenderedPageBreak/>
        <w:t>Conclusion</w:t>
      </w:r>
    </w:p>
    <w:p w14:paraId="78E38EA6" w14:textId="12A26214" w:rsidR="00716A88" w:rsidRPr="00756607" w:rsidRDefault="00716A88" w:rsidP="00716A88">
      <w:pPr>
        <w:pStyle w:val="BodyText"/>
      </w:pPr>
      <w:r>
        <w:t>We observe</w:t>
      </w:r>
      <w:r w:rsidR="0007715D">
        <w:t xml:space="preserve"> that</w:t>
      </w:r>
      <w:r>
        <w:t>:</w:t>
      </w:r>
    </w:p>
    <w:p w14:paraId="19AB4971" w14:textId="77777777" w:rsidR="00AE09DB" w:rsidRDefault="00716A88">
      <w:pPr>
        <w:pStyle w:val="TOC1"/>
        <w:rPr>
          <w:rFonts w:asciiTheme="minorHAnsi" w:eastAsiaTheme="minorEastAsia" w:hAnsiTheme="minorHAnsi" w:cstheme="minorBidi"/>
          <w:b w:val="0"/>
          <w:sz w:val="22"/>
        </w:rPr>
      </w:pPr>
      <w:r>
        <w:rPr>
          <w:bCs/>
          <w:highlight w:val="yellow"/>
        </w:rPr>
        <w:fldChar w:fldCharType="begin"/>
      </w:r>
      <w:r>
        <w:rPr>
          <w:bCs/>
          <w:highlight w:val="yellow"/>
        </w:rPr>
        <w:instrText xml:space="preserve"> TOC \f \n \p " " \t "Observation,1" </w:instrText>
      </w:r>
      <w:r>
        <w:rPr>
          <w:bCs/>
          <w:highlight w:val="yellow"/>
        </w:rPr>
        <w:fldChar w:fldCharType="separate"/>
      </w:r>
      <w:bookmarkStart w:id="11" w:name="_GoBack"/>
      <w:bookmarkEnd w:id="11"/>
      <w:r w:rsidR="00AE09DB">
        <w:t>Observation 1</w:t>
      </w:r>
      <w:r w:rsidR="00AE09DB">
        <w:rPr>
          <w:rFonts w:asciiTheme="minorHAnsi" w:eastAsiaTheme="minorEastAsia" w:hAnsiTheme="minorHAnsi" w:cstheme="minorBidi"/>
          <w:b w:val="0"/>
          <w:sz w:val="22"/>
        </w:rPr>
        <w:tab/>
      </w:r>
      <w:r w:rsidR="00AE09DB">
        <w:t>One potential problem for mobility is RLF due to interference which is prominent when number of drone UEs in the network is large.</w:t>
      </w:r>
    </w:p>
    <w:p w14:paraId="353D1772" w14:textId="59DD4BA1" w:rsidR="003A7EF3" w:rsidRPr="0007715D" w:rsidRDefault="00716A88" w:rsidP="0007715D">
      <w:pPr>
        <w:rPr>
          <w:lang w:val="en-GB"/>
        </w:rPr>
      </w:pPr>
      <w:r>
        <w:rPr>
          <w:bCs/>
          <w:highlight w:val="yellow"/>
        </w:rPr>
        <w:fldChar w:fldCharType="end"/>
      </w:r>
      <w:bookmarkStart w:id="12" w:name="_In-sequence_SDU_delivery"/>
      <w:bookmarkEnd w:id="12"/>
    </w:p>
    <w:sectPr w:rsidR="003A7EF3" w:rsidRPr="0007715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3A7FF" w14:textId="77777777" w:rsidR="00F55177" w:rsidRDefault="00F55177">
      <w:r>
        <w:separator/>
      </w:r>
    </w:p>
  </w:endnote>
  <w:endnote w:type="continuationSeparator" w:id="0">
    <w:p w14:paraId="2ECAC8BC" w14:textId="77777777" w:rsidR="00F55177" w:rsidRDefault="00F5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3580A" w14:textId="77777777" w:rsidR="00F55177" w:rsidRDefault="00F55177">
      <w:r>
        <w:separator/>
      </w:r>
    </w:p>
  </w:footnote>
  <w:footnote w:type="continuationSeparator" w:id="0">
    <w:p w14:paraId="5EA499B3" w14:textId="77777777" w:rsidR="00F55177" w:rsidRDefault="00F55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D7AD3"/>
    <w:multiLevelType w:val="hybridMultilevel"/>
    <w:tmpl w:val="62747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532059"/>
    <w:multiLevelType w:val="hybridMultilevel"/>
    <w:tmpl w:val="5DDE79FC"/>
    <w:lvl w:ilvl="0" w:tplc="3ABA6D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C6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318"/>
    <w:rsid w:val="000616E7"/>
    <w:rsid w:val="0006487E"/>
    <w:rsid w:val="00065E1A"/>
    <w:rsid w:val="0007715D"/>
    <w:rsid w:val="00077E5F"/>
    <w:rsid w:val="0008036A"/>
    <w:rsid w:val="00081AE6"/>
    <w:rsid w:val="000855EB"/>
    <w:rsid w:val="00085B52"/>
    <w:rsid w:val="000866F2"/>
    <w:rsid w:val="0009009F"/>
    <w:rsid w:val="00090D5D"/>
    <w:rsid w:val="00091557"/>
    <w:rsid w:val="000924C1"/>
    <w:rsid w:val="000924F0"/>
    <w:rsid w:val="00093474"/>
    <w:rsid w:val="0009510F"/>
    <w:rsid w:val="000A1B7B"/>
    <w:rsid w:val="000A27B3"/>
    <w:rsid w:val="000A56F2"/>
    <w:rsid w:val="000B2719"/>
    <w:rsid w:val="000B3A8F"/>
    <w:rsid w:val="000B4AB9"/>
    <w:rsid w:val="000B58C3"/>
    <w:rsid w:val="000B61E9"/>
    <w:rsid w:val="000C05BF"/>
    <w:rsid w:val="000C165A"/>
    <w:rsid w:val="000C2E19"/>
    <w:rsid w:val="000D0D07"/>
    <w:rsid w:val="000D1D0E"/>
    <w:rsid w:val="000D4797"/>
    <w:rsid w:val="000E0527"/>
    <w:rsid w:val="000E1E92"/>
    <w:rsid w:val="000E405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3A1"/>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28F"/>
    <w:rsid w:val="0018143F"/>
    <w:rsid w:val="00190AC1"/>
    <w:rsid w:val="0019341A"/>
    <w:rsid w:val="00197DF9"/>
    <w:rsid w:val="001A1987"/>
    <w:rsid w:val="001A2564"/>
    <w:rsid w:val="001A6173"/>
    <w:rsid w:val="001A6CBA"/>
    <w:rsid w:val="001B0D97"/>
    <w:rsid w:val="001B5A5D"/>
    <w:rsid w:val="001C1CE5"/>
    <w:rsid w:val="001C3D2A"/>
    <w:rsid w:val="001C4A90"/>
    <w:rsid w:val="001D1AEB"/>
    <w:rsid w:val="001D51BA"/>
    <w:rsid w:val="001D6342"/>
    <w:rsid w:val="001D6D53"/>
    <w:rsid w:val="001E58E2"/>
    <w:rsid w:val="001E7AED"/>
    <w:rsid w:val="001F3916"/>
    <w:rsid w:val="001F54C5"/>
    <w:rsid w:val="001F662C"/>
    <w:rsid w:val="001F7074"/>
    <w:rsid w:val="001F75AE"/>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B40"/>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7112"/>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C65"/>
    <w:rsid w:val="003C7806"/>
    <w:rsid w:val="003D109F"/>
    <w:rsid w:val="003D2478"/>
    <w:rsid w:val="003D3C45"/>
    <w:rsid w:val="003D5A0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75F7"/>
    <w:rsid w:val="004517AA"/>
    <w:rsid w:val="00452CAC"/>
    <w:rsid w:val="00457565"/>
    <w:rsid w:val="00457B71"/>
    <w:rsid w:val="004669E2"/>
    <w:rsid w:val="00470C31"/>
    <w:rsid w:val="004734D0"/>
    <w:rsid w:val="0047556B"/>
    <w:rsid w:val="00477768"/>
    <w:rsid w:val="00492BC5"/>
    <w:rsid w:val="004964F1"/>
    <w:rsid w:val="004A16BC"/>
    <w:rsid w:val="004A2B94"/>
    <w:rsid w:val="004A53D7"/>
    <w:rsid w:val="004B7C0C"/>
    <w:rsid w:val="004C2DB9"/>
    <w:rsid w:val="004C3898"/>
    <w:rsid w:val="004D36B1"/>
    <w:rsid w:val="004D3BD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41B8"/>
    <w:rsid w:val="005C74FB"/>
    <w:rsid w:val="005D1602"/>
    <w:rsid w:val="005E03C7"/>
    <w:rsid w:val="005E3122"/>
    <w:rsid w:val="005E385F"/>
    <w:rsid w:val="005E5B81"/>
    <w:rsid w:val="005F2CB1"/>
    <w:rsid w:val="005F3025"/>
    <w:rsid w:val="005F618C"/>
    <w:rsid w:val="005F70BD"/>
    <w:rsid w:val="0060283C"/>
    <w:rsid w:val="00603EFB"/>
    <w:rsid w:val="00604C8A"/>
    <w:rsid w:val="00604F14"/>
    <w:rsid w:val="00611B83"/>
    <w:rsid w:val="00613257"/>
    <w:rsid w:val="00620A71"/>
    <w:rsid w:val="00620D80"/>
    <w:rsid w:val="006234A6"/>
    <w:rsid w:val="00625B40"/>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80E"/>
    <w:rsid w:val="006655EE"/>
    <w:rsid w:val="00665EE9"/>
    <w:rsid w:val="00667EE7"/>
    <w:rsid w:val="00670922"/>
    <w:rsid w:val="00670BE1"/>
    <w:rsid w:val="0067218F"/>
    <w:rsid w:val="00673DE4"/>
    <w:rsid w:val="006741F2"/>
    <w:rsid w:val="00674CC3"/>
    <w:rsid w:val="00675C72"/>
    <w:rsid w:val="006771F9"/>
    <w:rsid w:val="006776D7"/>
    <w:rsid w:val="00681003"/>
    <w:rsid w:val="006817C9"/>
    <w:rsid w:val="00683ECE"/>
    <w:rsid w:val="0068546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6A88"/>
    <w:rsid w:val="00717875"/>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02A"/>
    <w:rsid w:val="007B3D2D"/>
    <w:rsid w:val="007B50AE"/>
    <w:rsid w:val="007B51DF"/>
    <w:rsid w:val="007C05DD"/>
    <w:rsid w:val="007C3D18"/>
    <w:rsid w:val="007C60BF"/>
    <w:rsid w:val="007C6A07"/>
    <w:rsid w:val="007C75A1"/>
    <w:rsid w:val="007C77A5"/>
    <w:rsid w:val="007D04E5"/>
    <w:rsid w:val="007D449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D24"/>
    <w:rsid w:val="008677FD"/>
    <w:rsid w:val="008706D4"/>
    <w:rsid w:val="00870F8A"/>
    <w:rsid w:val="008719A4"/>
    <w:rsid w:val="00871D23"/>
    <w:rsid w:val="00874312"/>
    <w:rsid w:val="0087437C"/>
    <w:rsid w:val="00875CD7"/>
    <w:rsid w:val="00876B4D"/>
    <w:rsid w:val="00877F18"/>
    <w:rsid w:val="0088028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4D8"/>
    <w:rsid w:val="00945C05"/>
    <w:rsid w:val="00946945"/>
    <w:rsid w:val="00947713"/>
    <w:rsid w:val="00950DE7"/>
    <w:rsid w:val="00953920"/>
    <w:rsid w:val="00953D47"/>
    <w:rsid w:val="0095681E"/>
    <w:rsid w:val="009572D4"/>
    <w:rsid w:val="00961921"/>
    <w:rsid w:val="0096430A"/>
    <w:rsid w:val="0096554B"/>
    <w:rsid w:val="0096584A"/>
    <w:rsid w:val="00970F24"/>
    <w:rsid w:val="00971F08"/>
    <w:rsid w:val="0097603D"/>
    <w:rsid w:val="00976949"/>
    <w:rsid w:val="00980477"/>
    <w:rsid w:val="00985253"/>
    <w:rsid w:val="009853B3"/>
    <w:rsid w:val="00990630"/>
    <w:rsid w:val="00991761"/>
    <w:rsid w:val="00991A1D"/>
    <w:rsid w:val="00994DCA"/>
    <w:rsid w:val="009960EC"/>
    <w:rsid w:val="009970DD"/>
    <w:rsid w:val="009A0FBA"/>
    <w:rsid w:val="009A1601"/>
    <w:rsid w:val="009A28A4"/>
    <w:rsid w:val="009A462D"/>
    <w:rsid w:val="009A5CBA"/>
    <w:rsid w:val="009A7C42"/>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9DB"/>
    <w:rsid w:val="00AE27AC"/>
    <w:rsid w:val="00AE3743"/>
    <w:rsid w:val="00AE40E0"/>
    <w:rsid w:val="00AE4DBA"/>
    <w:rsid w:val="00AE4F07"/>
    <w:rsid w:val="00AF1C5D"/>
    <w:rsid w:val="00AF42D7"/>
    <w:rsid w:val="00AF76BD"/>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010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69D"/>
    <w:rsid w:val="00C3719D"/>
    <w:rsid w:val="00C47423"/>
    <w:rsid w:val="00C54995"/>
    <w:rsid w:val="00C54D41"/>
    <w:rsid w:val="00C60783"/>
    <w:rsid w:val="00C6141E"/>
    <w:rsid w:val="00C619F8"/>
    <w:rsid w:val="00C64672"/>
    <w:rsid w:val="00C67B33"/>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DFA"/>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537"/>
    <w:rsid w:val="00D34E9E"/>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4F66"/>
    <w:rsid w:val="00D77B1D"/>
    <w:rsid w:val="00D8021F"/>
    <w:rsid w:val="00D80383"/>
    <w:rsid w:val="00D823C6"/>
    <w:rsid w:val="00D86CA3"/>
    <w:rsid w:val="00D871CE"/>
    <w:rsid w:val="00D9196D"/>
    <w:rsid w:val="00D92982"/>
    <w:rsid w:val="00DA305E"/>
    <w:rsid w:val="00DA5417"/>
    <w:rsid w:val="00DA56E8"/>
    <w:rsid w:val="00DB0A9F"/>
    <w:rsid w:val="00DB377D"/>
    <w:rsid w:val="00DB45F2"/>
    <w:rsid w:val="00DC2D36"/>
    <w:rsid w:val="00DC53EF"/>
    <w:rsid w:val="00DE5608"/>
    <w:rsid w:val="00DE58D0"/>
    <w:rsid w:val="00DE654F"/>
    <w:rsid w:val="00DF0B6E"/>
    <w:rsid w:val="00DF15E0"/>
    <w:rsid w:val="00DF1B3E"/>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AF8"/>
    <w:rsid w:val="00EA7A41"/>
    <w:rsid w:val="00EB077B"/>
    <w:rsid w:val="00EB4EA2"/>
    <w:rsid w:val="00EC27C6"/>
    <w:rsid w:val="00EC4207"/>
    <w:rsid w:val="00EC5653"/>
    <w:rsid w:val="00EC71CE"/>
    <w:rsid w:val="00ED1006"/>
    <w:rsid w:val="00EE2E76"/>
    <w:rsid w:val="00EE353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7A9"/>
    <w:rsid w:val="00F40F0C"/>
    <w:rsid w:val="00F4766C"/>
    <w:rsid w:val="00F507D1"/>
    <w:rsid w:val="00F519CE"/>
    <w:rsid w:val="00F51ADA"/>
    <w:rsid w:val="00F5517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C3B"/>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FBF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41E"/>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604C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4C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4C8A"/>
    <w:pPr>
      <w:numPr>
        <w:ilvl w:val="2"/>
      </w:numPr>
      <w:spacing w:before="120"/>
      <w:outlineLvl w:val="2"/>
    </w:pPr>
    <w:rPr>
      <w:sz w:val="28"/>
      <w:szCs w:val="28"/>
    </w:rPr>
  </w:style>
  <w:style w:type="paragraph" w:styleId="Heading4">
    <w:name w:val="heading 4"/>
    <w:basedOn w:val="Heading3"/>
    <w:next w:val="Normal"/>
    <w:qFormat/>
    <w:rsid w:val="00604C8A"/>
    <w:pPr>
      <w:numPr>
        <w:ilvl w:val="3"/>
      </w:numPr>
      <w:outlineLvl w:val="3"/>
    </w:pPr>
    <w:rPr>
      <w:sz w:val="24"/>
      <w:szCs w:val="24"/>
    </w:rPr>
  </w:style>
  <w:style w:type="paragraph" w:styleId="Heading5">
    <w:name w:val="heading 5"/>
    <w:basedOn w:val="Heading4"/>
    <w:next w:val="Normal"/>
    <w:qFormat/>
    <w:rsid w:val="00604C8A"/>
    <w:pPr>
      <w:numPr>
        <w:ilvl w:val="4"/>
      </w:numPr>
      <w:outlineLvl w:val="4"/>
    </w:pPr>
    <w:rPr>
      <w:sz w:val="22"/>
      <w:szCs w:val="22"/>
    </w:rPr>
  </w:style>
  <w:style w:type="paragraph" w:styleId="Heading6">
    <w:name w:val="heading 6"/>
    <w:basedOn w:val="Normal"/>
    <w:next w:val="Normal"/>
    <w:qFormat/>
    <w:rsid w:val="00604C8A"/>
    <w:pPr>
      <w:keepNext/>
      <w:keepLines/>
      <w:numPr>
        <w:ilvl w:val="5"/>
        <w:numId w:val="1"/>
      </w:numPr>
      <w:spacing w:before="120"/>
      <w:outlineLvl w:val="5"/>
    </w:pPr>
    <w:rPr>
      <w:rFonts w:cs="Arial"/>
    </w:rPr>
  </w:style>
  <w:style w:type="paragraph" w:styleId="Heading7">
    <w:name w:val="heading 7"/>
    <w:basedOn w:val="Normal"/>
    <w:next w:val="Normal"/>
    <w:qFormat/>
    <w:rsid w:val="00604C8A"/>
    <w:pPr>
      <w:keepNext/>
      <w:keepLines/>
      <w:numPr>
        <w:ilvl w:val="6"/>
        <w:numId w:val="1"/>
      </w:numPr>
      <w:spacing w:before="120"/>
      <w:outlineLvl w:val="6"/>
    </w:pPr>
    <w:rPr>
      <w:rFonts w:cs="Arial"/>
    </w:rPr>
  </w:style>
  <w:style w:type="paragraph" w:styleId="Heading8">
    <w:name w:val="heading 8"/>
    <w:basedOn w:val="Heading7"/>
    <w:next w:val="Normal"/>
    <w:qFormat/>
    <w:rsid w:val="00604C8A"/>
    <w:pPr>
      <w:numPr>
        <w:ilvl w:val="7"/>
      </w:numPr>
      <w:outlineLvl w:val="7"/>
    </w:pPr>
  </w:style>
  <w:style w:type="paragraph" w:styleId="Heading9">
    <w:name w:val="heading 9"/>
    <w:basedOn w:val="Heading8"/>
    <w:next w:val="Normal"/>
    <w:qFormat/>
    <w:rsid w:val="00604C8A"/>
    <w:pPr>
      <w:numPr>
        <w:ilvl w:val="8"/>
      </w:numPr>
      <w:outlineLvl w:val="8"/>
    </w:pPr>
  </w:style>
  <w:style w:type="character" w:default="1" w:styleId="DefaultParagraphFont">
    <w:name w:val="Default Paragraph Font"/>
    <w:uiPriority w:val="1"/>
    <w:semiHidden/>
    <w:unhideWhenUsed/>
    <w:rsid w:val="00C614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141E"/>
  </w:style>
  <w:style w:type="paragraph" w:styleId="TOC8">
    <w:name w:val="toc 8"/>
    <w:basedOn w:val="TOC1"/>
    <w:semiHidden/>
    <w:rsid w:val="00604C8A"/>
    <w:pPr>
      <w:spacing w:before="180"/>
      <w:ind w:left="2693" w:hanging="2693"/>
    </w:pPr>
    <w:rPr>
      <w:b w:val="0"/>
      <w:bCs/>
    </w:rPr>
  </w:style>
  <w:style w:type="paragraph" w:styleId="TOC1">
    <w:name w:val="toc 1"/>
    <w:aliases w:val="Observation TOC2"/>
    <w:uiPriority w:val="39"/>
    <w:rsid w:val="00604C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4C8A"/>
    <w:pPr>
      <w:keepNext/>
      <w:keepLines/>
      <w:spacing w:before="180"/>
      <w:jc w:val="center"/>
    </w:pPr>
  </w:style>
  <w:style w:type="paragraph" w:styleId="Caption">
    <w:name w:val="caption"/>
    <w:basedOn w:val="Normal"/>
    <w:next w:val="Normal"/>
    <w:qFormat/>
    <w:rsid w:val="00604C8A"/>
    <w:pPr>
      <w:spacing w:after="240"/>
      <w:jc w:val="center"/>
    </w:pPr>
    <w:rPr>
      <w:b/>
      <w:bCs/>
    </w:rPr>
  </w:style>
  <w:style w:type="paragraph" w:styleId="TOC5">
    <w:name w:val="toc 5"/>
    <w:aliases w:val="Observation TOC"/>
    <w:basedOn w:val="TOC4"/>
    <w:semiHidden/>
    <w:rsid w:val="00604C8A"/>
    <w:pPr>
      <w:tabs>
        <w:tab w:val="right" w:pos="1701"/>
      </w:tabs>
      <w:ind w:left="1701" w:hanging="1701"/>
    </w:pPr>
  </w:style>
  <w:style w:type="paragraph" w:styleId="TOC4">
    <w:name w:val="toc 4"/>
    <w:basedOn w:val="TOC3"/>
    <w:semiHidden/>
    <w:rsid w:val="00604C8A"/>
    <w:pPr>
      <w:ind w:left="1418" w:hanging="1418"/>
    </w:pPr>
  </w:style>
  <w:style w:type="paragraph" w:styleId="TOC3">
    <w:name w:val="toc 3"/>
    <w:basedOn w:val="TOC2"/>
    <w:semiHidden/>
    <w:rsid w:val="00604C8A"/>
    <w:pPr>
      <w:ind w:left="1134" w:hanging="1134"/>
    </w:pPr>
  </w:style>
  <w:style w:type="paragraph" w:styleId="TOC2">
    <w:name w:val="toc 2"/>
    <w:basedOn w:val="TOC1"/>
    <w:semiHidden/>
    <w:rsid w:val="00604C8A"/>
    <w:pPr>
      <w:keepNext w:val="0"/>
      <w:spacing w:before="0"/>
      <w:ind w:left="851" w:hanging="851"/>
    </w:pPr>
    <w:rPr>
      <w:szCs w:val="20"/>
    </w:rPr>
  </w:style>
  <w:style w:type="paragraph" w:styleId="Index2">
    <w:name w:val="index 2"/>
    <w:basedOn w:val="Index1"/>
    <w:semiHidden/>
    <w:rsid w:val="00604C8A"/>
    <w:pPr>
      <w:ind w:left="284"/>
    </w:pPr>
  </w:style>
  <w:style w:type="paragraph" w:styleId="Index1">
    <w:name w:val="index 1"/>
    <w:basedOn w:val="Normal"/>
    <w:semiHidden/>
    <w:rsid w:val="00604C8A"/>
    <w:pPr>
      <w:keepLines/>
      <w:spacing w:after="0"/>
    </w:pPr>
  </w:style>
  <w:style w:type="paragraph" w:styleId="DocumentMap">
    <w:name w:val="Document Map"/>
    <w:basedOn w:val="Normal"/>
    <w:semiHidden/>
    <w:rsid w:val="00604C8A"/>
    <w:pPr>
      <w:shd w:val="clear" w:color="auto" w:fill="000080"/>
    </w:pPr>
    <w:rPr>
      <w:rFonts w:ascii="Tahoma" w:hAnsi="Tahoma" w:cs="Tahoma"/>
    </w:rPr>
  </w:style>
  <w:style w:type="paragraph" w:styleId="ListNumber2">
    <w:name w:val="List Number 2"/>
    <w:basedOn w:val="ListNumber"/>
    <w:rsid w:val="00604C8A"/>
    <w:pPr>
      <w:ind w:left="851"/>
    </w:pPr>
  </w:style>
  <w:style w:type="paragraph" w:styleId="ListNumber">
    <w:name w:val="List Number"/>
    <w:basedOn w:val="List"/>
    <w:rsid w:val="00604C8A"/>
  </w:style>
  <w:style w:type="paragraph" w:styleId="List">
    <w:name w:val="List"/>
    <w:basedOn w:val="Normal"/>
    <w:rsid w:val="00604C8A"/>
    <w:pPr>
      <w:ind w:left="568" w:hanging="284"/>
    </w:pPr>
  </w:style>
  <w:style w:type="paragraph" w:styleId="Header">
    <w:name w:val="header"/>
    <w:rsid w:val="00604C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4C8A"/>
    <w:rPr>
      <w:b/>
      <w:bCs/>
      <w:position w:val="6"/>
      <w:sz w:val="16"/>
      <w:szCs w:val="16"/>
    </w:rPr>
  </w:style>
  <w:style w:type="paragraph" w:styleId="FootnoteText">
    <w:name w:val="footnote text"/>
    <w:basedOn w:val="Normal"/>
    <w:semiHidden/>
    <w:rsid w:val="00604C8A"/>
    <w:pPr>
      <w:keepLines/>
      <w:spacing w:after="0"/>
      <w:ind w:left="454" w:hanging="454"/>
    </w:pPr>
    <w:rPr>
      <w:sz w:val="16"/>
      <w:szCs w:val="16"/>
    </w:rPr>
  </w:style>
  <w:style w:type="paragraph" w:customStyle="1" w:styleId="3GPPHeader">
    <w:name w:val="3GPP_Header"/>
    <w:basedOn w:val="Normal"/>
    <w:rsid w:val="00604C8A"/>
    <w:pPr>
      <w:tabs>
        <w:tab w:val="left" w:pos="1701"/>
        <w:tab w:val="right" w:pos="9639"/>
      </w:tabs>
      <w:spacing w:after="240"/>
    </w:pPr>
    <w:rPr>
      <w:b/>
      <w:sz w:val="24"/>
    </w:rPr>
  </w:style>
  <w:style w:type="paragraph" w:styleId="TOC9">
    <w:name w:val="toc 9"/>
    <w:basedOn w:val="TOC8"/>
    <w:semiHidden/>
    <w:rsid w:val="00604C8A"/>
    <w:pPr>
      <w:ind w:left="1418" w:hanging="1418"/>
    </w:pPr>
  </w:style>
  <w:style w:type="paragraph" w:styleId="TOC6">
    <w:name w:val="toc 6"/>
    <w:basedOn w:val="TOC5"/>
    <w:next w:val="Normal"/>
    <w:semiHidden/>
    <w:rsid w:val="00604C8A"/>
    <w:pPr>
      <w:ind w:left="1985" w:hanging="1985"/>
    </w:pPr>
  </w:style>
  <w:style w:type="paragraph" w:styleId="TOC7">
    <w:name w:val="toc 7"/>
    <w:basedOn w:val="TOC6"/>
    <w:next w:val="Normal"/>
    <w:semiHidden/>
    <w:rsid w:val="00604C8A"/>
    <w:pPr>
      <w:ind w:left="2268" w:hanging="2268"/>
    </w:pPr>
  </w:style>
  <w:style w:type="paragraph" w:styleId="ListBullet2">
    <w:name w:val="List Bullet 2"/>
    <w:basedOn w:val="ListBullet"/>
    <w:rsid w:val="00604C8A"/>
    <w:pPr>
      <w:numPr>
        <w:numId w:val="6"/>
      </w:numPr>
    </w:pPr>
  </w:style>
  <w:style w:type="paragraph" w:styleId="ListBullet">
    <w:name w:val="List Bullet"/>
    <w:basedOn w:val="BodyText"/>
    <w:rsid w:val="00604C8A"/>
    <w:pPr>
      <w:numPr>
        <w:numId w:val="5"/>
      </w:numPr>
    </w:pPr>
  </w:style>
  <w:style w:type="paragraph" w:styleId="ListBullet3">
    <w:name w:val="List Bullet 3"/>
    <w:basedOn w:val="ListBullet2"/>
    <w:rsid w:val="00604C8A"/>
    <w:pPr>
      <w:numPr>
        <w:numId w:val="7"/>
      </w:numPr>
    </w:pPr>
  </w:style>
  <w:style w:type="paragraph" w:customStyle="1" w:styleId="EQ">
    <w:name w:val="EQ"/>
    <w:basedOn w:val="Normal"/>
    <w:next w:val="Normal"/>
    <w:rsid w:val="00604C8A"/>
    <w:pPr>
      <w:keepLines/>
      <w:tabs>
        <w:tab w:val="center" w:pos="4536"/>
        <w:tab w:val="right" w:pos="9072"/>
      </w:tabs>
      <w:spacing w:after="180"/>
    </w:pPr>
    <w:rPr>
      <w:noProof/>
      <w:lang w:eastAsia="en-US"/>
    </w:rPr>
  </w:style>
  <w:style w:type="paragraph" w:styleId="List2">
    <w:name w:val="List 2"/>
    <w:basedOn w:val="List"/>
    <w:rsid w:val="00604C8A"/>
    <w:pPr>
      <w:ind w:left="851"/>
    </w:pPr>
  </w:style>
  <w:style w:type="paragraph" w:styleId="List3">
    <w:name w:val="List 3"/>
    <w:basedOn w:val="List2"/>
    <w:rsid w:val="00604C8A"/>
    <w:pPr>
      <w:ind w:left="1135"/>
    </w:pPr>
  </w:style>
  <w:style w:type="paragraph" w:styleId="List4">
    <w:name w:val="List 4"/>
    <w:basedOn w:val="List3"/>
    <w:rsid w:val="00604C8A"/>
    <w:pPr>
      <w:ind w:left="1418"/>
    </w:pPr>
  </w:style>
  <w:style w:type="paragraph" w:styleId="List5">
    <w:name w:val="List 5"/>
    <w:basedOn w:val="List4"/>
    <w:rsid w:val="00604C8A"/>
    <w:pPr>
      <w:ind w:left="1702"/>
    </w:pPr>
  </w:style>
  <w:style w:type="paragraph" w:customStyle="1" w:styleId="EditorsNote">
    <w:name w:val="Editor's Note"/>
    <w:basedOn w:val="Normal"/>
    <w:rsid w:val="00604C8A"/>
    <w:pPr>
      <w:keepLines/>
      <w:spacing w:after="180"/>
      <w:ind w:left="1135" w:hanging="851"/>
    </w:pPr>
    <w:rPr>
      <w:color w:val="FF0000"/>
      <w:lang w:eastAsia="en-US"/>
    </w:rPr>
  </w:style>
  <w:style w:type="paragraph" w:styleId="ListBullet4">
    <w:name w:val="List Bullet 4"/>
    <w:basedOn w:val="ListBullet3"/>
    <w:rsid w:val="00604C8A"/>
    <w:pPr>
      <w:numPr>
        <w:numId w:val="8"/>
      </w:numPr>
    </w:pPr>
  </w:style>
  <w:style w:type="paragraph" w:styleId="ListBullet5">
    <w:name w:val="List Bullet 5"/>
    <w:basedOn w:val="ListBullet4"/>
    <w:rsid w:val="00604C8A"/>
    <w:pPr>
      <w:numPr>
        <w:numId w:val="4"/>
      </w:numPr>
    </w:pPr>
  </w:style>
  <w:style w:type="paragraph" w:styleId="Footer">
    <w:name w:val="footer"/>
    <w:basedOn w:val="Header"/>
    <w:semiHidden/>
    <w:rsid w:val="00604C8A"/>
    <w:pPr>
      <w:jc w:val="center"/>
    </w:pPr>
    <w:rPr>
      <w:i/>
      <w:iCs/>
    </w:rPr>
  </w:style>
  <w:style w:type="paragraph" w:customStyle="1" w:styleId="Reference">
    <w:name w:val="Reference"/>
    <w:basedOn w:val="Normal"/>
    <w:rsid w:val="00604C8A"/>
    <w:pPr>
      <w:numPr>
        <w:numId w:val="2"/>
      </w:numPr>
    </w:pPr>
  </w:style>
  <w:style w:type="paragraph" w:styleId="BalloonText">
    <w:name w:val="Balloon Text"/>
    <w:basedOn w:val="Normal"/>
    <w:semiHidden/>
    <w:rsid w:val="00604C8A"/>
    <w:rPr>
      <w:rFonts w:ascii="Tahoma" w:hAnsi="Tahoma" w:cs="Tahoma"/>
      <w:sz w:val="16"/>
      <w:szCs w:val="16"/>
    </w:rPr>
  </w:style>
  <w:style w:type="character" w:styleId="PageNumber">
    <w:name w:val="page number"/>
    <w:basedOn w:val="DefaultParagraphFont"/>
    <w:semiHidden/>
    <w:rsid w:val="00604C8A"/>
  </w:style>
  <w:style w:type="paragraph" w:styleId="BodyText">
    <w:name w:val="Body Text"/>
    <w:basedOn w:val="Normal"/>
    <w:link w:val="BodyTextChar"/>
    <w:rsid w:val="00604C8A"/>
  </w:style>
  <w:style w:type="character" w:styleId="Hyperlink">
    <w:name w:val="Hyperlink"/>
    <w:uiPriority w:val="99"/>
    <w:rsid w:val="00604C8A"/>
    <w:rPr>
      <w:color w:val="0000FF"/>
      <w:u w:val="single"/>
      <w:lang w:val="en-GB"/>
    </w:rPr>
  </w:style>
  <w:style w:type="character" w:styleId="FollowedHyperlink">
    <w:name w:val="FollowedHyperlink"/>
    <w:semiHidden/>
    <w:rsid w:val="00604C8A"/>
    <w:rPr>
      <w:color w:val="FF0000"/>
      <w:u w:val="single"/>
    </w:rPr>
  </w:style>
  <w:style w:type="character" w:styleId="CommentReference">
    <w:name w:val="annotation reference"/>
    <w:semiHidden/>
    <w:rsid w:val="00604C8A"/>
    <w:rPr>
      <w:sz w:val="16"/>
      <w:szCs w:val="16"/>
    </w:rPr>
  </w:style>
  <w:style w:type="paragraph" w:styleId="CommentText">
    <w:name w:val="annotation text"/>
    <w:basedOn w:val="Normal"/>
    <w:semiHidden/>
    <w:rsid w:val="00604C8A"/>
  </w:style>
  <w:style w:type="paragraph" w:styleId="CommentSubject">
    <w:name w:val="annotation subject"/>
    <w:basedOn w:val="CommentText"/>
    <w:next w:val="CommentText"/>
    <w:semiHidden/>
    <w:rsid w:val="00604C8A"/>
    <w:rPr>
      <w:b/>
      <w:bCs/>
    </w:rPr>
  </w:style>
  <w:style w:type="character" w:customStyle="1" w:styleId="Heading1Char">
    <w:name w:val="Heading 1 Char"/>
    <w:link w:val="Heading1"/>
    <w:rsid w:val="00604C8A"/>
    <w:rPr>
      <w:rFonts w:ascii="Arial" w:hAnsi="Arial" w:cs="Arial"/>
      <w:sz w:val="36"/>
      <w:szCs w:val="36"/>
      <w:lang w:val="en-GB" w:eastAsia="zh-CN"/>
    </w:rPr>
  </w:style>
  <w:style w:type="paragraph" w:customStyle="1" w:styleId="B1">
    <w:name w:val="B1"/>
    <w:basedOn w:val="List"/>
    <w:rsid w:val="00604C8A"/>
    <w:pPr>
      <w:spacing w:after="180"/>
    </w:pPr>
    <w:rPr>
      <w:lang w:eastAsia="en-US"/>
    </w:rPr>
  </w:style>
  <w:style w:type="paragraph" w:customStyle="1" w:styleId="B2">
    <w:name w:val="B2"/>
    <w:basedOn w:val="List2"/>
    <w:rsid w:val="00604C8A"/>
    <w:pPr>
      <w:spacing w:after="180"/>
    </w:pPr>
    <w:rPr>
      <w:lang w:eastAsia="en-US"/>
    </w:rPr>
  </w:style>
  <w:style w:type="paragraph" w:customStyle="1" w:styleId="B3">
    <w:name w:val="B3"/>
    <w:basedOn w:val="List3"/>
    <w:rsid w:val="00604C8A"/>
    <w:pPr>
      <w:spacing w:after="180"/>
    </w:pPr>
    <w:rPr>
      <w:lang w:eastAsia="en-US"/>
    </w:rPr>
  </w:style>
  <w:style w:type="paragraph" w:customStyle="1" w:styleId="B4">
    <w:name w:val="B4"/>
    <w:basedOn w:val="List4"/>
    <w:rsid w:val="00604C8A"/>
    <w:pPr>
      <w:spacing w:after="180"/>
    </w:pPr>
    <w:rPr>
      <w:lang w:eastAsia="en-US"/>
    </w:rPr>
  </w:style>
  <w:style w:type="paragraph" w:customStyle="1" w:styleId="Proposal">
    <w:name w:val="Proposal"/>
    <w:basedOn w:val="Normal"/>
    <w:rsid w:val="00604C8A"/>
    <w:pPr>
      <w:numPr>
        <w:numId w:val="3"/>
      </w:numPr>
      <w:tabs>
        <w:tab w:val="clear" w:pos="1304"/>
        <w:tab w:val="left" w:pos="1701"/>
      </w:tabs>
      <w:ind w:left="1701" w:hanging="1701"/>
    </w:pPr>
    <w:rPr>
      <w:b/>
      <w:bCs/>
    </w:rPr>
  </w:style>
  <w:style w:type="character" w:customStyle="1" w:styleId="BodyTextChar">
    <w:name w:val="Body Text Char"/>
    <w:link w:val="BodyText"/>
    <w:rsid w:val="00604C8A"/>
    <w:rPr>
      <w:rFonts w:ascii="Arial" w:hAnsi="Arial"/>
      <w:lang w:val="en-GB" w:eastAsia="zh-CN"/>
    </w:rPr>
  </w:style>
  <w:style w:type="paragraph" w:customStyle="1" w:styleId="B5">
    <w:name w:val="B5"/>
    <w:basedOn w:val="List5"/>
    <w:rsid w:val="00604C8A"/>
    <w:pPr>
      <w:spacing w:after="180"/>
    </w:pPr>
    <w:rPr>
      <w:lang w:eastAsia="en-US"/>
    </w:rPr>
  </w:style>
  <w:style w:type="paragraph" w:customStyle="1" w:styleId="EX">
    <w:name w:val="EX"/>
    <w:basedOn w:val="Normal"/>
    <w:rsid w:val="00604C8A"/>
    <w:pPr>
      <w:keepLines/>
      <w:spacing w:after="180"/>
      <w:ind w:left="1702" w:hanging="1418"/>
    </w:pPr>
    <w:rPr>
      <w:lang w:eastAsia="en-US"/>
    </w:rPr>
  </w:style>
  <w:style w:type="paragraph" w:customStyle="1" w:styleId="EW">
    <w:name w:val="EW"/>
    <w:basedOn w:val="EX"/>
    <w:rsid w:val="00604C8A"/>
    <w:pPr>
      <w:spacing w:after="0"/>
    </w:pPr>
  </w:style>
  <w:style w:type="paragraph" w:customStyle="1" w:styleId="TAL">
    <w:name w:val="TAL"/>
    <w:basedOn w:val="Normal"/>
    <w:link w:val="TALChar"/>
    <w:rsid w:val="00604C8A"/>
    <w:pPr>
      <w:keepNext/>
      <w:keepLines/>
      <w:spacing w:after="0"/>
    </w:pPr>
    <w:rPr>
      <w:sz w:val="18"/>
      <w:lang w:eastAsia="en-US"/>
    </w:rPr>
  </w:style>
  <w:style w:type="paragraph" w:customStyle="1" w:styleId="TAC">
    <w:name w:val="TAC"/>
    <w:basedOn w:val="TAL"/>
    <w:rsid w:val="00604C8A"/>
    <w:pPr>
      <w:jc w:val="center"/>
    </w:pPr>
  </w:style>
  <w:style w:type="paragraph" w:customStyle="1" w:styleId="TAH">
    <w:name w:val="TAH"/>
    <w:basedOn w:val="TAC"/>
    <w:link w:val="TAHCar"/>
    <w:rsid w:val="00604C8A"/>
    <w:rPr>
      <w:b/>
    </w:rPr>
  </w:style>
  <w:style w:type="paragraph" w:customStyle="1" w:styleId="TAN">
    <w:name w:val="TAN"/>
    <w:basedOn w:val="TAL"/>
    <w:rsid w:val="00604C8A"/>
    <w:pPr>
      <w:ind w:left="851" w:hanging="851"/>
    </w:pPr>
  </w:style>
  <w:style w:type="paragraph" w:customStyle="1" w:styleId="TAR">
    <w:name w:val="TAR"/>
    <w:basedOn w:val="TAL"/>
    <w:rsid w:val="00604C8A"/>
    <w:pPr>
      <w:jc w:val="right"/>
    </w:pPr>
  </w:style>
  <w:style w:type="paragraph" w:customStyle="1" w:styleId="TH">
    <w:name w:val="TH"/>
    <w:basedOn w:val="Normal"/>
    <w:link w:val="THChar"/>
    <w:rsid w:val="00604C8A"/>
    <w:pPr>
      <w:keepNext/>
      <w:keepLines/>
      <w:spacing w:before="60" w:after="180"/>
      <w:jc w:val="center"/>
    </w:pPr>
    <w:rPr>
      <w:b/>
      <w:lang w:eastAsia="en-US"/>
    </w:rPr>
  </w:style>
  <w:style w:type="paragraph" w:customStyle="1" w:styleId="TF">
    <w:name w:val="TF"/>
    <w:basedOn w:val="TH"/>
    <w:rsid w:val="00604C8A"/>
    <w:pPr>
      <w:keepNext w:val="0"/>
      <w:spacing w:before="0" w:after="240"/>
    </w:pPr>
  </w:style>
  <w:style w:type="paragraph" w:customStyle="1" w:styleId="TT">
    <w:name w:val="TT"/>
    <w:basedOn w:val="Heading1"/>
    <w:next w:val="Normal"/>
    <w:rsid w:val="00604C8A"/>
    <w:pPr>
      <w:numPr>
        <w:numId w:val="0"/>
      </w:numPr>
      <w:ind w:left="1134" w:hanging="1134"/>
      <w:outlineLvl w:val="9"/>
    </w:pPr>
    <w:rPr>
      <w:rFonts w:cs="Times New Roman"/>
      <w:szCs w:val="20"/>
      <w:lang w:eastAsia="en-US"/>
    </w:rPr>
  </w:style>
  <w:style w:type="paragraph" w:customStyle="1" w:styleId="ZA">
    <w:name w:val="ZA"/>
    <w:rsid w:val="00604C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4C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4C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4C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4C8A"/>
  </w:style>
  <w:style w:type="paragraph" w:customStyle="1" w:styleId="ZH">
    <w:name w:val="ZH"/>
    <w:rsid w:val="00604C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4C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4C8A"/>
    <w:pPr>
      <w:framePr w:hRule="auto" w:wrap="notBeside" w:y="852"/>
    </w:pPr>
    <w:rPr>
      <w:i w:val="0"/>
      <w:sz w:val="40"/>
    </w:rPr>
  </w:style>
  <w:style w:type="paragraph" w:customStyle="1" w:styleId="ZU">
    <w:name w:val="ZU"/>
    <w:rsid w:val="00604C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4C8A"/>
    <w:pPr>
      <w:framePr w:wrap="notBeside" w:y="16161"/>
    </w:pPr>
  </w:style>
  <w:style w:type="paragraph" w:customStyle="1" w:styleId="FP">
    <w:name w:val="FP"/>
    <w:basedOn w:val="Normal"/>
    <w:rsid w:val="00604C8A"/>
    <w:pPr>
      <w:spacing w:after="0"/>
    </w:pPr>
    <w:rPr>
      <w:lang w:eastAsia="en-US"/>
    </w:rPr>
  </w:style>
  <w:style w:type="paragraph" w:customStyle="1" w:styleId="Observation">
    <w:name w:val="Observation"/>
    <w:basedOn w:val="Proposal"/>
    <w:qFormat/>
    <w:rsid w:val="00604C8A"/>
    <w:pPr>
      <w:numPr>
        <w:numId w:val="13"/>
      </w:numPr>
      <w:ind w:left="1701" w:hanging="1701"/>
    </w:pPr>
  </w:style>
  <w:style w:type="paragraph" w:styleId="TableofFigures">
    <w:name w:val="table of figures"/>
    <w:basedOn w:val="Normal"/>
    <w:next w:val="Normal"/>
    <w:uiPriority w:val="99"/>
    <w:rsid w:val="00604C8A"/>
    <w:pPr>
      <w:ind w:left="1418" w:hanging="1418"/>
    </w:pPr>
    <w:rPr>
      <w:b/>
    </w:rPr>
  </w:style>
  <w:style w:type="paragraph" w:customStyle="1" w:styleId="Doc-text2">
    <w:name w:val="Doc-text2"/>
    <w:basedOn w:val="Normal"/>
    <w:link w:val="Doc-text2Char"/>
    <w:qFormat/>
    <w:rsid w:val="00604C8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04C8A"/>
    <w:rPr>
      <w:rFonts w:ascii="Arial" w:eastAsia="MS Mincho" w:hAnsi="Arial"/>
      <w:szCs w:val="24"/>
      <w:lang w:val="en-GB" w:eastAsia="en-GB"/>
    </w:rPr>
  </w:style>
  <w:style w:type="paragraph" w:styleId="ListParagraph">
    <w:name w:val="List Paragraph"/>
    <w:basedOn w:val="Normal"/>
    <w:uiPriority w:val="34"/>
    <w:qFormat/>
    <w:rsid w:val="00604C8A"/>
    <w:pPr>
      <w:ind w:left="720"/>
      <w:contextualSpacing/>
    </w:pPr>
  </w:style>
  <w:style w:type="character" w:customStyle="1" w:styleId="THChar">
    <w:name w:val="TH Char"/>
    <w:link w:val="TH"/>
    <w:rsid w:val="00EE2E76"/>
    <w:rPr>
      <w:rFonts w:ascii="Arial" w:hAnsi="Arial"/>
      <w:b/>
      <w:lang w:val="en-GB"/>
    </w:rPr>
  </w:style>
  <w:style w:type="character" w:customStyle="1" w:styleId="TALChar">
    <w:name w:val="TAL Char"/>
    <w:link w:val="TAL"/>
    <w:rsid w:val="00EE2E76"/>
    <w:rPr>
      <w:rFonts w:ascii="Arial" w:hAnsi="Arial"/>
      <w:sz w:val="18"/>
      <w:lang w:val="en-GB"/>
    </w:rPr>
  </w:style>
  <w:style w:type="character" w:customStyle="1" w:styleId="TAHCar">
    <w:name w:val="TAH Car"/>
    <w:link w:val="TAH"/>
    <w:rsid w:val="00EE2E76"/>
    <w:rPr>
      <w:rFonts w:ascii="Arial" w:hAnsi="Arial"/>
      <w:b/>
      <w:sz w:val="18"/>
      <w:lang w:val="en-GB"/>
    </w:rPr>
  </w:style>
  <w:style w:type="table" w:styleId="TableGrid">
    <w:name w:val="Table Grid"/>
    <w:basedOn w:val="TableNormal"/>
    <w:rsid w:val="00090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15222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685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ezhenzo\Downloads\UMa%20full%20buffer%20all.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ezhenzo\Downloads\UMa%20full%20buffer%20all.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ezhenzo\Downloads\UMa%20full%20buffer%20all.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ezhenzo\Downloads\UMa%20full%20buffer%20all.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ezhenzo\Downloads\UMa%20full%20buffer%20all.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'Radio Link Failure rate   '!$D$9</c:f>
              <c:strCache>
                <c:ptCount val="1"/>
                <c:pt idx="0">
                  <c:v>3km/h</c:v>
                </c:pt>
              </c:strCache>
            </c:strRef>
          </c:tx>
          <c:invertIfNegative val="0"/>
          <c:cat>
            <c:strRef>
              <c:f>'Radio Link Failure rate   '!$E$8:$H$8</c:f>
              <c:strCache>
                <c:ptCount val="4"/>
                <c:pt idx="0">
                  <c:v>0m</c:v>
                </c:pt>
                <c:pt idx="1">
                  <c:v>50m</c:v>
                </c:pt>
                <c:pt idx="2">
                  <c:v>100m</c:v>
                </c:pt>
                <c:pt idx="3">
                  <c:v>300m</c:v>
                </c:pt>
              </c:strCache>
            </c:strRef>
          </c:cat>
          <c:val>
            <c:numRef>
              <c:f>'Radio Link Failure rate   '!$E$9:$H$9</c:f>
              <c:numCache>
                <c:formatCode>0.000000</c:formatCode>
                <c:ptCount val="4"/>
                <c:pt idx="0">
                  <c:v>4.2740100000000003E-2</c:v>
                </c:pt>
                <c:pt idx="1">
                  <c:v>4.1961499999999999E-2</c:v>
                </c:pt>
                <c:pt idx="2">
                  <c:v>0.27378655000000002</c:v>
                </c:pt>
                <c:pt idx="3">
                  <c:v>0.4493354</c:v>
                </c:pt>
              </c:numCache>
            </c:numRef>
          </c:val>
          <c:extLst>
            <c:ext xmlns:c16="http://schemas.microsoft.com/office/drawing/2014/chart" uri="{C3380CC4-5D6E-409C-BE32-E72D297353CC}">
              <c16:uniqueId val="{00000000-FDCB-4A69-A553-41B010224F02}"/>
            </c:ext>
          </c:extLst>
        </c:ser>
        <c:ser>
          <c:idx val="1"/>
          <c:order val="1"/>
          <c:tx>
            <c:strRef>
              <c:f>'Radio Link Failure rate   '!$D$10</c:f>
              <c:strCache>
                <c:ptCount val="1"/>
                <c:pt idx="0">
                  <c:v>30km/h</c:v>
                </c:pt>
              </c:strCache>
            </c:strRef>
          </c:tx>
          <c:invertIfNegative val="0"/>
          <c:cat>
            <c:strRef>
              <c:f>'Radio Link Failure rate   '!$E$8:$H$8</c:f>
              <c:strCache>
                <c:ptCount val="4"/>
                <c:pt idx="0">
                  <c:v>0m</c:v>
                </c:pt>
                <c:pt idx="1">
                  <c:v>50m</c:v>
                </c:pt>
                <c:pt idx="2">
                  <c:v>100m</c:v>
                </c:pt>
                <c:pt idx="3">
                  <c:v>300m</c:v>
                </c:pt>
              </c:strCache>
            </c:strRef>
          </c:cat>
          <c:val>
            <c:numRef>
              <c:f>'Radio Link Failure rate   '!$E$10:$H$10</c:f>
              <c:numCache>
                <c:formatCode>0.000000</c:formatCode>
                <c:ptCount val="4"/>
                <c:pt idx="0">
                  <c:v>7.4277300000000004E-2</c:v>
                </c:pt>
                <c:pt idx="1">
                  <c:v>0.10817206</c:v>
                </c:pt>
                <c:pt idx="2">
                  <c:v>0.19840152999999999</c:v>
                </c:pt>
                <c:pt idx="3">
                  <c:v>0.46007126999999998</c:v>
                </c:pt>
              </c:numCache>
            </c:numRef>
          </c:val>
          <c:extLst>
            <c:ext xmlns:c16="http://schemas.microsoft.com/office/drawing/2014/chart" uri="{C3380CC4-5D6E-409C-BE32-E72D297353CC}">
              <c16:uniqueId val="{00000001-FDCB-4A69-A553-41B010224F02}"/>
            </c:ext>
          </c:extLst>
        </c:ser>
        <c:ser>
          <c:idx val="2"/>
          <c:order val="2"/>
          <c:tx>
            <c:strRef>
              <c:f>'Radio Link Failure rate   '!$D$11</c:f>
              <c:strCache>
                <c:ptCount val="1"/>
                <c:pt idx="0">
                  <c:v>60km/h</c:v>
                </c:pt>
              </c:strCache>
            </c:strRef>
          </c:tx>
          <c:invertIfNegative val="0"/>
          <c:cat>
            <c:strRef>
              <c:f>'Radio Link Failure rate   '!$E$8:$H$8</c:f>
              <c:strCache>
                <c:ptCount val="4"/>
                <c:pt idx="0">
                  <c:v>0m</c:v>
                </c:pt>
                <c:pt idx="1">
                  <c:v>50m</c:v>
                </c:pt>
                <c:pt idx="2">
                  <c:v>100m</c:v>
                </c:pt>
                <c:pt idx="3">
                  <c:v>300m</c:v>
                </c:pt>
              </c:strCache>
            </c:strRef>
          </c:cat>
          <c:val>
            <c:numRef>
              <c:f>'Radio Link Failure rate   '!$E$11:$H$11</c:f>
              <c:numCache>
                <c:formatCode>0.000000</c:formatCode>
                <c:ptCount val="4"/>
                <c:pt idx="0">
                  <c:v>9.1697529999999999E-2</c:v>
                </c:pt>
                <c:pt idx="1">
                  <c:v>0.15402484</c:v>
                </c:pt>
                <c:pt idx="2">
                  <c:v>0.19580078000000001</c:v>
                </c:pt>
                <c:pt idx="3">
                  <c:v>0.45338754999999997</c:v>
                </c:pt>
              </c:numCache>
            </c:numRef>
          </c:val>
          <c:extLst>
            <c:ext xmlns:c16="http://schemas.microsoft.com/office/drawing/2014/chart" uri="{C3380CC4-5D6E-409C-BE32-E72D297353CC}">
              <c16:uniqueId val="{00000002-FDCB-4A69-A553-41B010224F02}"/>
            </c:ext>
          </c:extLst>
        </c:ser>
        <c:ser>
          <c:idx val="3"/>
          <c:order val="3"/>
          <c:tx>
            <c:strRef>
              <c:f>'Radio Link Failure rate   '!$D$12</c:f>
              <c:strCache>
                <c:ptCount val="1"/>
                <c:pt idx="0">
                  <c:v>160km/h</c:v>
                </c:pt>
              </c:strCache>
            </c:strRef>
          </c:tx>
          <c:invertIfNegative val="0"/>
          <c:cat>
            <c:strRef>
              <c:f>'Radio Link Failure rate   '!$E$8:$H$8</c:f>
              <c:strCache>
                <c:ptCount val="4"/>
                <c:pt idx="0">
                  <c:v>0m</c:v>
                </c:pt>
                <c:pt idx="1">
                  <c:v>50m</c:v>
                </c:pt>
                <c:pt idx="2">
                  <c:v>100m</c:v>
                </c:pt>
                <c:pt idx="3">
                  <c:v>300m</c:v>
                </c:pt>
              </c:strCache>
            </c:strRef>
          </c:cat>
          <c:val>
            <c:numRef>
              <c:f>'Radio Link Failure rate   '!$E$12:$H$12</c:f>
              <c:numCache>
                <c:formatCode>0.000000</c:formatCode>
                <c:ptCount val="4"/>
                <c:pt idx="0">
                  <c:v>0.12023876</c:v>
                </c:pt>
                <c:pt idx="1">
                  <c:v>0.24653937000000001</c:v>
                </c:pt>
                <c:pt idx="2">
                  <c:v>0.22942313</c:v>
                </c:pt>
                <c:pt idx="3">
                  <c:v>0.19560415</c:v>
                </c:pt>
              </c:numCache>
            </c:numRef>
          </c:val>
          <c:extLst>
            <c:ext xmlns:c16="http://schemas.microsoft.com/office/drawing/2014/chart" uri="{C3380CC4-5D6E-409C-BE32-E72D297353CC}">
              <c16:uniqueId val="{00000003-FDCB-4A69-A553-41B010224F02}"/>
            </c:ext>
          </c:extLst>
        </c:ser>
        <c:dLbls>
          <c:showLegendKey val="0"/>
          <c:showVal val="0"/>
          <c:showCatName val="0"/>
          <c:showSerName val="0"/>
          <c:showPercent val="0"/>
          <c:showBubbleSize val="0"/>
        </c:dLbls>
        <c:gapWidth val="150"/>
        <c:axId val="397438984"/>
        <c:axId val="1"/>
      </c:barChart>
      <c:catAx>
        <c:axId val="397438984"/>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
        <c:crosses val="autoZero"/>
        <c:auto val="1"/>
        <c:lblAlgn val="ctr"/>
        <c:lblOffset val="100"/>
        <c:noMultiLvlLbl val="0"/>
      </c:catAx>
      <c:valAx>
        <c:axId val="1"/>
        <c:scaling>
          <c:orientation val="minMax"/>
        </c:scaling>
        <c:delete val="0"/>
        <c:axPos val="l"/>
        <c:majorGridlines/>
        <c:numFmt formatCode="0.00000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397438984"/>
        <c:crosses val="autoZero"/>
        <c:crossBetween val="between"/>
      </c:valAx>
    </c:plotArea>
    <c:legend>
      <c:legendPos val="r"/>
      <c:layout>
        <c:manualLayout>
          <c:xMode val="edge"/>
          <c:yMode val="edge"/>
          <c:x val="0.8220415890636622"/>
          <c:y val="0.27700463982286577"/>
          <c:w val="0.16628200163504159"/>
          <c:h val="0.450719607916309"/>
        </c:manualLayout>
      </c:layout>
      <c:overlay val="0"/>
      <c:spPr>
        <a:noFill/>
        <a:ln w="25400">
          <a:noFill/>
        </a:ln>
      </c:spPr>
      <c:txPr>
        <a:bodyPr/>
        <a:lstStyle/>
        <a:p>
          <a:pPr>
            <a:defRPr sz="920" b="0" i="0" u="none" strike="noStrike" baseline="0">
              <a:solidFill>
                <a:srgbClr val="000000"/>
              </a:solidFill>
              <a:latin typeface="Calibri"/>
              <a:ea typeface="Calibri"/>
              <a:cs typeface="Calibri"/>
            </a:defRPr>
          </a:pPr>
          <a:endParaRPr lang="en-US"/>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'HO failure rate '!$D$9</c:f>
              <c:strCache>
                <c:ptCount val="1"/>
                <c:pt idx="0">
                  <c:v>3km/h</c:v>
                </c:pt>
              </c:strCache>
            </c:strRef>
          </c:tx>
          <c:invertIfNegative val="0"/>
          <c:cat>
            <c:strRef>
              <c:f>'HO failure rate '!$E$8:$H$8</c:f>
              <c:strCache>
                <c:ptCount val="4"/>
                <c:pt idx="0">
                  <c:v>0m</c:v>
                </c:pt>
                <c:pt idx="1">
                  <c:v>50m</c:v>
                </c:pt>
                <c:pt idx="2">
                  <c:v>100m</c:v>
                </c:pt>
                <c:pt idx="3">
                  <c:v>300m</c:v>
                </c:pt>
              </c:strCache>
            </c:strRef>
          </c:cat>
          <c:val>
            <c:numRef>
              <c:f>'HO failure rate '!$E$9:$H$9</c:f>
              <c:numCache>
                <c:formatCode>0.000000</c:formatCode>
                <c:ptCount val="4"/>
                <c:pt idx="0">
                  <c:v>41.248727000000002</c:v>
                </c:pt>
                <c:pt idx="1">
                  <c:v>43.943342000000001</c:v>
                </c:pt>
                <c:pt idx="2">
                  <c:v>73.461538000000004</c:v>
                </c:pt>
                <c:pt idx="3">
                  <c:v>40</c:v>
                </c:pt>
              </c:numCache>
            </c:numRef>
          </c:val>
          <c:extLst>
            <c:ext xmlns:c16="http://schemas.microsoft.com/office/drawing/2014/chart" uri="{C3380CC4-5D6E-409C-BE32-E72D297353CC}">
              <c16:uniqueId val="{00000000-ACB2-4476-B044-85802CF74AF6}"/>
            </c:ext>
          </c:extLst>
        </c:ser>
        <c:ser>
          <c:idx val="1"/>
          <c:order val="1"/>
          <c:tx>
            <c:strRef>
              <c:f>'HO failure rate '!$D$10</c:f>
              <c:strCache>
                <c:ptCount val="1"/>
                <c:pt idx="0">
                  <c:v>30km/h</c:v>
                </c:pt>
              </c:strCache>
            </c:strRef>
          </c:tx>
          <c:invertIfNegative val="0"/>
          <c:cat>
            <c:strRef>
              <c:f>'HO failure rate '!$E$8:$H$8</c:f>
              <c:strCache>
                <c:ptCount val="4"/>
                <c:pt idx="0">
                  <c:v>0m</c:v>
                </c:pt>
                <c:pt idx="1">
                  <c:v>50m</c:v>
                </c:pt>
                <c:pt idx="2">
                  <c:v>100m</c:v>
                </c:pt>
                <c:pt idx="3">
                  <c:v>300m</c:v>
                </c:pt>
              </c:strCache>
            </c:strRef>
          </c:cat>
          <c:val>
            <c:numRef>
              <c:f>'HO failure rate '!$E$10:$H$10</c:f>
              <c:numCache>
                <c:formatCode>0.000000</c:formatCode>
                <c:ptCount val="4"/>
                <c:pt idx="0">
                  <c:v>33.366504999999997</c:v>
                </c:pt>
                <c:pt idx="1">
                  <c:v>40.111274999999999</c:v>
                </c:pt>
                <c:pt idx="2">
                  <c:v>60.845604000000002</c:v>
                </c:pt>
                <c:pt idx="3">
                  <c:v>84.208682999999994</c:v>
                </c:pt>
              </c:numCache>
            </c:numRef>
          </c:val>
          <c:extLst>
            <c:ext xmlns:c16="http://schemas.microsoft.com/office/drawing/2014/chart" uri="{C3380CC4-5D6E-409C-BE32-E72D297353CC}">
              <c16:uniqueId val="{00000001-ACB2-4476-B044-85802CF74AF6}"/>
            </c:ext>
          </c:extLst>
        </c:ser>
        <c:ser>
          <c:idx val="2"/>
          <c:order val="2"/>
          <c:tx>
            <c:strRef>
              <c:f>'HO failure rate '!$D$11</c:f>
              <c:strCache>
                <c:ptCount val="1"/>
                <c:pt idx="0">
                  <c:v>60km/h</c:v>
                </c:pt>
              </c:strCache>
            </c:strRef>
          </c:tx>
          <c:invertIfNegative val="0"/>
          <c:cat>
            <c:strRef>
              <c:f>'HO failure rate '!$E$8:$H$8</c:f>
              <c:strCache>
                <c:ptCount val="4"/>
                <c:pt idx="0">
                  <c:v>0m</c:v>
                </c:pt>
                <c:pt idx="1">
                  <c:v>50m</c:v>
                </c:pt>
                <c:pt idx="2">
                  <c:v>100m</c:v>
                </c:pt>
                <c:pt idx="3">
                  <c:v>300m</c:v>
                </c:pt>
              </c:strCache>
            </c:strRef>
          </c:cat>
          <c:val>
            <c:numRef>
              <c:f>'HO failure rate '!$E$11:$H$11</c:f>
              <c:numCache>
                <c:formatCode>0.000000</c:formatCode>
                <c:ptCount val="4"/>
                <c:pt idx="0">
                  <c:v>33.247697000000002</c:v>
                </c:pt>
                <c:pt idx="1">
                  <c:v>48.093546000000003</c:v>
                </c:pt>
                <c:pt idx="2">
                  <c:v>53.845703</c:v>
                </c:pt>
                <c:pt idx="3">
                  <c:v>82.618667000000002</c:v>
                </c:pt>
              </c:numCache>
            </c:numRef>
          </c:val>
          <c:extLst>
            <c:ext xmlns:c16="http://schemas.microsoft.com/office/drawing/2014/chart" uri="{C3380CC4-5D6E-409C-BE32-E72D297353CC}">
              <c16:uniqueId val="{00000002-ACB2-4476-B044-85802CF74AF6}"/>
            </c:ext>
          </c:extLst>
        </c:ser>
        <c:ser>
          <c:idx val="3"/>
          <c:order val="3"/>
          <c:tx>
            <c:strRef>
              <c:f>'HO failure rate '!$D$12</c:f>
              <c:strCache>
                <c:ptCount val="1"/>
                <c:pt idx="0">
                  <c:v>160km/h</c:v>
                </c:pt>
              </c:strCache>
            </c:strRef>
          </c:tx>
          <c:invertIfNegative val="0"/>
          <c:cat>
            <c:strRef>
              <c:f>'HO failure rate '!$E$8:$H$8</c:f>
              <c:strCache>
                <c:ptCount val="4"/>
                <c:pt idx="0">
                  <c:v>0m</c:v>
                </c:pt>
                <c:pt idx="1">
                  <c:v>50m</c:v>
                </c:pt>
                <c:pt idx="2">
                  <c:v>100m</c:v>
                </c:pt>
                <c:pt idx="3">
                  <c:v>300m</c:v>
                </c:pt>
              </c:strCache>
            </c:strRef>
          </c:cat>
          <c:val>
            <c:numRef>
              <c:f>'HO failure rate '!$E$12:$H$12</c:f>
              <c:numCache>
                <c:formatCode>0.000000</c:formatCode>
                <c:ptCount val="4"/>
                <c:pt idx="0">
                  <c:v>33.243167999999997</c:v>
                </c:pt>
                <c:pt idx="1">
                  <c:v>60.937353000000002</c:v>
                </c:pt>
                <c:pt idx="2">
                  <c:v>59.512448999999997</c:v>
                </c:pt>
                <c:pt idx="3">
                  <c:v>74.203513000000001</c:v>
                </c:pt>
              </c:numCache>
            </c:numRef>
          </c:val>
          <c:extLst>
            <c:ext xmlns:c16="http://schemas.microsoft.com/office/drawing/2014/chart" uri="{C3380CC4-5D6E-409C-BE32-E72D297353CC}">
              <c16:uniqueId val="{00000003-ACB2-4476-B044-85802CF74AF6}"/>
            </c:ext>
          </c:extLst>
        </c:ser>
        <c:dLbls>
          <c:showLegendKey val="0"/>
          <c:showVal val="0"/>
          <c:showCatName val="0"/>
          <c:showSerName val="0"/>
          <c:showPercent val="0"/>
          <c:showBubbleSize val="0"/>
        </c:dLbls>
        <c:gapWidth val="150"/>
        <c:axId val="407727472"/>
        <c:axId val="1"/>
      </c:barChart>
      <c:catAx>
        <c:axId val="407727472"/>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
        <c:crosses val="autoZero"/>
        <c:auto val="1"/>
        <c:lblAlgn val="ctr"/>
        <c:lblOffset val="100"/>
        <c:noMultiLvlLbl val="0"/>
      </c:catAx>
      <c:valAx>
        <c:axId val="1"/>
        <c:scaling>
          <c:orientation val="minMax"/>
        </c:scaling>
        <c:delete val="0"/>
        <c:axPos val="l"/>
        <c:majorGridlines/>
        <c:numFmt formatCode="0.00000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407727472"/>
        <c:crosses val="autoZero"/>
        <c:crossBetween val="between"/>
      </c:valAx>
    </c:plotArea>
    <c:legend>
      <c:legendPos val="r"/>
      <c:layout>
        <c:manualLayout>
          <c:xMode val="edge"/>
          <c:yMode val="edge"/>
          <c:x val="0.8220415890636622"/>
          <c:y val="0.27700467019087405"/>
          <c:w val="0.16628200163504159"/>
          <c:h val="0.45071950513228098"/>
        </c:manualLayout>
      </c:layout>
      <c:overlay val="0"/>
      <c:spPr>
        <a:noFill/>
        <a:ln w="25400">
          <a:noFill/>
        </a:ln>
      </c:spPr>
      <c:txPr>
        <a:bodyPr/>
        <a:lstStyle/>
        <a:p>
          <a:pPr>
            <a:defRPr sz="920" b="0" i="0" u="none" strike="noStrike" baseline="0">
              <a:solidFill>
                <a:srgbClr val="000000"/>
              </a:solidFill>
              <a:latin typeface="Calibri"/>
              <a:ea typeface="Calibri"/>
              <a:cs typeface="Calibri"/>
            </a:defRPr>
          </a:pPr>
          <a:endParaRPr lang="en-US"/>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'Handover rate'!$D$9</c:f>
              <c:strCache>
                <c:ptCount val="1"/>
                <c:pt idx="0">
                  <c:v>3km/h</c:v>
                </c:pt>
              </c:strCache>
            </c:strRef>
          </c:tx>
          <c:invertIfNegative val="0"/>
          <c:cat>
            <c:strRef>
              <c:f>'Handover rate'!$E$8:$H$8</c:f>
              <c:strCache>
                <c:ptCount val="4"/>
                <c:pt idx="0">
                  <c:v>0m</c:v>
                </c:pt>
                <c:pt idx="1">
                  <c:v>50m</c:v>
                </c:pt>
                <c:pt idx="2">
                  <c:v>100m</c:v>
                </c:pt>
                <c:pt idx="3">
                  <c:v>300m</c:v>
                </c:pt>
              </c:strCache>
            </c:strRef>
          </c:cat>
          <c:val>
            <c:numRef>
              <c:f>'Handover rate'!$E$9:$H$9</c:f>
              <c:numCache>
                <c:formatCode>0.000000</c:formatCode>
                <c:ptCount val="4"/>
                <c:pt idx="0">
                  <c:v>1.7208299999999999E-2</c:v>
                </c:pt>
                <c:pt idx="1">
                  <c:v>5.2192899999999997E-3</c:v>
                </c:pt>
                <c:pt idx="2">
                  <c:v>5.5068200000000004E-4</c:v>
                </c:pt>
                <c:pt idx="3">
                  <c:v>1.3400999999999999E-5</c:v>
                </c:pt>
              </c:numCache>
            </c:numRef>
          </c:val>
          <c:extLst>
            <c:ext xmlns:c16="http://schemas.microsoft.com/office/drawing/2014/chart" uri="{C3380CC4-5D6E-409C-BE32-E72D297353CC}">
              <c16:uniqueId val="{00000000-8151-4259-A4BD-D6BB17DE2BB4}"/>
            </c:ext>
          </c:extLst>
        </c:ser>
        <c:ser>
          <c:idx val="1"/>
          <c:order val="1"/>
          <c:tx>
            <c:strRef>
              <c:f>'Handover rate'!$D$10</c:f>
              <c:strCache>
                <c:ptCount val="1"/>
                <c:pt idx="0">
                  <c:v>30km/h</c:v>
                </c:pt>
              </c:strCache>
            </c:strRef>
          </c:tx>
          <c:invertIfNegative val="0"/>
          <c:cat>
            <c:strRef>
              <c:f>'Handover rate'!$E$8:$H$8</c:f>
              <c:strCache>
                <c:ptCount val="4"/>
                <c:pt idx="0">
                  <c:v>0m</c:v>
                </c:pt>
                <c:pt idx="1">
                  <c:v>50m</c:v>
                </c:pt>
                <c:pt idx="2">
                  <c:v>100m</c:v>
                </c:pt>
                <c:pt idx="3">
                  <c:v>300m</c:v>
                </c:pt>
              </c:strCache>
            </c:strRef>
          </c:cat>
          <c:val>
            <c:numRef>
              <c:f>'Handover rate'!$E$10:$H$10</c:f>
              <c:numCache>
                <c:formatCode>0.000000</c:formatCode>
                <c:ptCount val="4"/>
                <c:pt idx="0">
                  <c:v>0.10737826</c:v>
                </c:pt>
                <c:pt idx="1">
                  <c:v>5.7519109999999998E-2</c:v>
                </c:pt>
                <c:pt idx="2">
                  <c:v>1.9131769999999999E-2</c:v>
                </c:pt>
                <c:pt idx="3">
                  <c:v>1.3389400000000001E-3</c:v>
                </c:pt>
              </c:numCache>
            </c:numRef>
          </c:val>
          <c:extLst>
            <c:ext xmlns:c16="http://schemas.microsoft.com/office/drawing/2014/chart" uri="{C3380CC4-5D6E-409C-BE32-E72D297353CC}">
              <c16:uniqueId val="{00000001-8151-4259-A4BD-D6BB17DE2BB4}"/>
            </c:ext>
          </c:extLst>
        </c:ser>
        <c:ser>
          <c:idx val="2"/>
          <c:order val="2"/>
          <c:tx>
            <c:strRef>
              <c:f>'Handover rate'!$D$11</c:f>
              <c:strCache>
                <c:ptCount val="1"/>
                <c:pt idx="0">
                  <c:v>60km/h</c:v>
                </c:pt>
              </c:strCache>
            </c:strRef>
          </c:tx>
          <c:invertIfNegative val="0"/>
          <c:cat>
            <c:strRef>
              <c:f>'Handover rate'!$E$8:$H$8</c:f>
              <c:strCache>
                <c:ptCount val="4"/>
                <c:pt idx="0">
                  <c:v>0m</c:v>
                </c:pt>
                <c:pt idx="1">
                  <c:v>50m</c:v>
                </c:pt>
                <c:pt idx="2">
                  <c:v>100m</c:v>
                </c:pt>
                <c:pt idx="3">
                  <c:v>300m</c:v>
                </c:pt>
              </c:strCache>
            </c:strRef>
          </c:cat>
          <c:val>
            <c:numRef>
              <c:f>'Handover rate'!$E$11:$H$11</c:f>
              <c:numCache>
                <c:formatCode>0.000000</c:formatCode>
                <c:ptCount val="4"/>
                <c:pt idx="0">
                  <c:v>0.15937883999999999</c:v>
                </c:pt>
                <c:pt idx="1">
                  <c:v>8.2476740000000007E-2</c:v>
                </c:pt>
                <c:pt idx="2">
                  <c:v>4.4262900000000001E-2</c:v>
                </c:pt>
                <c:pt idx="3">
                  <c:v>1.625426E-2</c:v>
                </c:pt>
              </c:numCache>
            </c:numRef>
          </c:val>
          <c:extLst>
            <c:ext xmlns:c16="http://schemas.microsoft.com/office/drawing/2014/chart" uri="{C3380CC4-5D6E-409C-BE32-E72D297353CC}">
              <c16:uniqueId val="{00000002-8151-4259-A4BD-D6BB17DE2BB4}"/>
            </c:ext>
          </c:extLst>
        </c:ser>
        <c:ser>
          <c:idx val="3"/>
          <c:order val="3"/>
          <c:tx>
            <c:strRef>
              <c:f>'Handover rate'!$D$12</c:f>
              <c:strCache>
                <c:ptCount val="1"/>
                <c:pt idx="0">
                  <c:v>160km/h</c:v>
                </c:pt>
              </c:strCache>
            </c:strRef>
          </c:tx>
          <c:invertIfNegative val="0"/>
          <c:cat>
            <c:strRef>
              <c:f>'Handover rate'!$E$8:$H$8</c:f>
              <c:strCache>
                <c:ptCount val="4"/>
                <c:pt idx="0">
                  <c:v>0m</c:v>
                </c:pt>
                <c:pt idx="1">
                  <c:v>50m</c:v>
                </c:pt>
                <c:pt idx="2">
                  <c:v>100m</c:v>
                </c:pt>
                <c:pt idx="3">
                  <c:v>300m</c:v>
                </c:pt>
              </c:strCache>
            </c:strRef>
          </c:cat>
          <c:val>
            <c:numRef>
              <c:f>'Handover rate'!$E$12:$H$12</c:f>
              <c:numCache>
                <c:formatCode>0.000000</c:formatCode>
                <c:ptCount val="4"/>
                <c:pt idx="0">
                  <c:v>0.24596264000000001</c:v>
                </c:pt>
                <c:pt idx="1">
                  <c:v>9.1826169999999999E-2</c:v>
                </c:pt>
                <c:pt idx="2">
                  <c:v>7.6752119999999993E-2</c:v>
                </c:pt>
                <c:pt idx="3">
                  <c:v>6.0755389999999999E-2</c:v>
                </c:pt>
              </c:numCache>
            </c:numRef>
          </c:val>
          <c:extLst>
            <c:ext xmlns:c16="http://schemas.microsoft.com/office/drawing/2014/chart" uri="{C3380CC4-5D6E-409C-BE32-E72D297353CC}">
              <c16:uniqueId val="{00000003-8151-4259-A4BD-D6BB17DE2BB4}"/>
            </c:ext>
          </c:extLst>
        </c:ser>
        <c:dLbls>
          <c:showLegendKey val="0"/>
          <c:showVal val="0"/>
          <c:showCatName val="0"/>
          <c:showSerName val="0"/>
          <c:showPercent val="0"/>
          <c:showBubbleSize val="0"/>
        </c:dLbls>
        <c:gapWidth val="150"/>
        <c:axId val="405793640"/>
        <c:axId val="1"/>
      </c:barChart>
      <c:catAx>
        <c:axId val="405793640"/>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
        <c:crosses val="autoZero"/>
        <c:auto val="1"/>
        <c:lblAlgn val="ctr"/>
        <c:lblOffset val="100"/>
        <c:noMultiLvlLbl val="0"/>
      </c:catAx>
      <c:valAx>
        <c:axId val="1"/>
        <c:scaling>
          <c:orientation val="minMax"/>
        </c:scaling>
        <c:delete val="0"/>
        <c:axPos val="l"/>
        <c:majorGridlines/>
        <c:numFmt formatCode="0.00000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405793640"/>
        <c:crosses val="autoZero"/>
        <c:crossBetween val="between"/>
      </c:valAx>
    </c:plotArea>
    <c:legend>
      <c:legendPos val="r"/>
      <c:layout>
        <c:manualLayout>
          <c:xMode val="edge"/>
          <c:yMode val="edge"/>
          <c:x val="0.8220415890636622"/>
          <c:y val="0.27700467019087405"/>
          <c:w val="0.16628200163504159"/>
          <c:h val="0.45071950513228098"/>
        </c:manualLayout>
      </c:layout>
      <c:overlay val="0"/>
      <c:spPr>
        <a:noFill/>
        <a:ln w="25400">
          <a:noFill/>
        </a:ln>
      </c:spPr>
      <c:txPr>
        <a:bodyPr/>
        <a:lstStyle/>
        <a:p>
          <a:pPr>
            <a:defRPr sz="920" b="0" i="0" u="none" strike="noStrike" baseline="0">
              <a:solidFill>
                <a:srgbClr val="000000"/>
              </a:solidFill>
              <a:latin typeface="Calibri"/>
              <a:ea typeface="Calibri"/>
              <a:cs typeface="Calibri"/>
            </a:defRPr>
          </a:pPr>
          <a:endParaRPr lang="en-US"/>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'Time in handoff '!$D$9</c:f>
              <c:strCache>
                <c:ptCount val="1"/>
                <c:pt idx="0">
                  <c:v>3km/h</c:v>
                </c:pt>
              </c:strCache>
            </c:strRef>
          </c:tx>
          <c:invertIfNegative val="0"/>
          <c:cat>
            <c:strRef>
              <c:f>'Time in handoff '!$E$8:$H$8</c:f>
              <c:strCache>
                <c:ptCount val="4"/>
                <c:pt idx="0">
                  <c:v>0m</c:v>
                </c:pt>
                <c:pt idx="1">
                  <c:v>50m</c:v>
                </c:pt>
                <c:pt idx="2">
                  <c:v>100m</c:v>
                </c:pt>
                <c:pt idx="3">
                  <c:v>300m</c:v>
                </c:pt>
              </c:strCache>
            </c:strRef>
          </c:cat>
          <c:val>
            <c:numRef>
              <c:f>'Time in handoff '!$E$9:$H$9</c:f>
              <c:numCache>
                <c:formatCode>0.000000</c:formatCode>
                <c:ptCount val="4"/>
                <c:pt idx="0">
                  <c:v>0.17469905399999999</c:v>
                </c:pt>
                <c:pt idx="1">
                  <c:v>3.16457115E-2</c:v>
                </c:pt>
                <c:pt idx="2">
                  <c:v>3.7845394699999998E-3</c:v>
                </c:pt>
                <c:pt idx="3">
                  <c:v>1.39924464E-4</c:v>
                </c:pt>
              </c:numCache>
            </c:numRef>
          </c:val>
          <c:extLst>
            <c:ext xmlns:c16="http://schemas.microsoft.com/office/drawing/2014/chart" uri="{C3380CC4-5D6E-409C-BE32-E72D297353CC}">
              <c16:uniqueId val="{00000000-5427-4AC3-9A04-2E5F652BCD47}"/>
            </c:ext>
          </c:extLst>
        </c:ser>
        <c:ser>
          <c:idx val="1"/>
          <c:order val="1"/>
          <c:tx>
            <c:strRef>
              <c:f>'Time in handoff '!$D$10</c:f>
              <c:strCache>
                <c:ptCount val="1"/>
                <c:pt idx="0">
                  <c:v>30km/h</c:v>
                </c:pt>
              </c:strCache>
            </c:strRef>
          </c:tx>
          <c:invertIfNegative val="0"/>
          <c:cat>
            <c:strRef>
              <c:f>'Time in handoff '!$E$8:$H$8</c:f>
              <c:strCache>
                <c:ptCount val="4"/>
                <c:pt idx="0">
                  <c:v>0m</c:v>
                </c:pt>
                <c:pt idx="1">
                  <c:v>50m</c:v>
                </c:pt>
                <c:pt idx="2">
                  <c:v>100m</c:v>
                </c:pt>
                <c:pt idx="3">
                  <c:v>300m</c:v>
                </c:pt>
              </c:strCache>
            </c:strRef>
          </c:cat>
          <c:val>
            <c:numRef>
              <c:f>'Time in handoff '!$E$10:$H$10</c:f>
              <c:numCache>
                <c:formatCode>0.000000</c:formatCode>
                <c:ptCount val="4"/>
                <c:pt idx="0">
                  <c:v>1.68092351</c:v>
                </c:pt>
                <c:pt idx="1">
                  <c:v>1.15778161</c:v>
                </c:pt>
                <c:pt idx="2">
                  <c:v>0.22880466999999999</c:v>
                </c:pt>
                <c:pt idx="3">
                  <c:v>7.20669E-3</c:v>
                </c:pt>
              </c:numCache>
            </c:numRef>
          </c:val>
          <c:extLst>
            <c:ext xmlns:c16="http://schemas.microsoft.com/office/drawing/2014/chart" uri="{C3380CC4-5D6E-409C-BE32-E72D297353CC}">
              <c16:uniqueId val="{00000001-5427-4AC3-9A04-2E5F652BCD47}"/>
            </c:ext>
          </c:extLst>
        </c:ser>
        <c:ser>
          <c:idx val="2"/>
          <c:order val="2"/>
          <c:tx>
            <c:strRef>
              <c:f>'Time in handoff '!$D$11</c:f>
              <c:strCache>
                <c:ptCount val="1"/>
                <c:pt idx="0">
                  <c:v>60km/h</c:v>
                </c:pt>
              </c:strCache>
            </c:strRef>
          </c:tx>
          <c:invertIfNegative val="0"/>
          <c:cat>
            <c:strRef>
              <c:f>'Time in handoff '!$E$8:$H$8</c:f>
              <c:strCache>
                <c:ptCount val="4"/>
                <c:pt idx="0">
                  <c:v>0m</c:v>
                </c:pt>
                <c:pt idx="1">
                  <c:v>50m</c:v>
                </c:pt>
                <c:pt idx="2">
                  <c:v>100m</c:v>
                </c:pt>
                <c:pt idx="3">
                  <c:v>300m</c:v>
                </c:pt>
              </c:strCache>
            </c:strRef>
          </c:cat>
          <c:val>
            <c:numRef>
              <c:f>'Time in handoff '!$E$11:$H$11</c:f>
              <c:numCache>
                <c:formatCode>0.000000</c:formatCode>
                <c:ptCount val="4"/>
                <c:pt idx="0">
                  <c:v>2.76175375</c:v>
                </c:pt>
                <c:pt idx="1">
                  <c:v>1.7766238000000001</c:v>
                </c:pt>
                <c:pt idx="2">
                  <c:v>0.63840684000000003</c:v>
                </c:pt>
                <c:pt idx="3">
                  <c:v>7.3568839999999996E-2</c:v>
                </c:pt>
              </c:numCache>
            </c:numRef>
          </c:val>
          <c:extLst>
            <c:ext xmlns:c16="http://schemas.microsoft.com/office/drawing/2014/chart" uri="{C3380CC4-5D6E-409C-BE32-E72D297353CC}">
              <c16:uniqueId val="{00000002-5427-4AC3-9A04-2E5F652BCD47}"/>
            </c:ext>
          </c:extLst>
        </c:ser>
        <c:ser>
          <c:idx val="3"/>
          <c:order val="3"/>
          <c:tx>
            <c:strRef>
              <c:f>'Time in handoff '!$D$12</c:f>
              <c:strCache>
                <c:ptCount val="1"/>
                <c:pt idx="0">
                  <c:v>160km/h</c:v>
                </c:pt>
              </c:strCache>
            </c:strRef>
          </c:tx>
          <c:invertIfNegative val="0"/>
          <c:cat>
            <c:strRef>
              <c:f>'Time in handoff '!$E$8:$H$8</c:f>
              <c:strCache>
                <c:ptCount val="4"/>
                <c:pt idx="0">
                  <c:v>0m</c:v>
                </c:pt>
                <c:pt idx="1">
                  <c:v>50m</c:v>
                </c:pt>
                <c:pt idx="2">
                  <c:v>100m</c:v>
                </c:pt>
                <c:pt idx="3">
                  <c:v>300m</c:v>
                </c:pt>
              </c:strCache>
            </c:strRef>
          </c:cat>
          <c:val>
            <c:numRef>
              <c:f>'Time in handoff '!$E$12:$H$12</c:f>
              <c:numCache>
                <c:formatCode>0.000000</c:formatCode>
                <c:ptCount val="4"/>
                <c:pt idx="0">
                  <c:v>4.4980656200000002</c:v>
                </c:pt>
                <c:pt idx="1">
                  <c:v>1.84237864</c:v>
                </c:pt>
                <c:pt idx="2">
                  <c:v>1.1928208300000001</c:v>
                </c:pt>
                <c:pt idx="3">
                  <c:v>0.33099708</c:v>
                </c:pt>
              </c:numCache>
            </c:numRef>
          </c:val>
          <c:extLst>
            <c:ext xmlns:c16="http://schemas.microsoft.com/office/drawing/2014/chart" uri="{C3380CC4-5D6E-409C-BE32-E72D297353CC}">
              <c16:uniqueId val="{00000003-5427-4AC3-9A04-2E5F652BCD47}"/>
            </c:ext>
          </c:extLst>
        </c:ser>
        <c:dLbls>
          <c:showLegendKey val="0"/>
          <c:showVal val="0"/>
          <c:showCatName val="0"/>
          <c:showSerName val="0"/>
          <c:showPercent val="0"/>
          <c:showBubbleSize val="0"/>
        </c:dLbls>
        <c:gapWidth val="150"/>
        <c:axId val="398054848"/>
        <c:axId val="1"/>
      </c:barChart>
      <c:catAx>
        <c:axId val="398054848"/>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
        <c:crosses val="autoZero"/>
        <c:auto val="1"/>
        <c:lblAlgn val="ctr"/>
        <c:lblOffset val="100"/>
        <c:noMultiLvlLbl val="0"/>
      </c:catAx>
      <c:valAx>
        <c:axId val="1"/>
        <c:scaling>
          <c:orientation val="minMax"/>
        </c:scaling>
        <c:delete val="0"/>
        <c:axPos val="l"/>
        <c:majorGridlines/>
        <c:numFmt formatCode="0.00000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398054848"/>
        <c:crosses val="autoZero"/>
        <c:crossBetween val="between"/>
      </c:valAx>
    </c:plotArea>
    <c:legend>
      <c:legendPos val="r"/>
      <c:layout>
        <c:manualLayout>
          <c:xMode val="edge"/>
          <c:yMode val="edge"/>
          <c:x val="0.8220415890636622"/>
          <c:y val="0.27700467019087405"/>
          <c:w val="0.16628200163504159"/>
          <c:h val="0.45071950513228098"/>
        </c:manualLayout>
      </c:layout>
      <c:overlay val="0"/>
      <c:spPr>
        <a:noFill/>
        <a:ln w="25400">
          <a:noFill/>
        </a:ln>
      </c:spPr>
      <c:txPr>
        <a:bodyPr/>
        <a:lstStyle/>
        <a:p>
          <a:pPr>
            <a:defRPr sz="920" b="0" i="0" u="none" strike="noStrike" baseline="0">
              <a:solidFill>
                <a:srgbClr val="000000"/>
              </a:solidFill>
              <a:latin typeface="Calibri"/>
              <a:ea typeface="Calibri"/>
              <a:cs typeface="Calibri"/>
            </a:defRPr>
          </a:pPr>
          <a:endParaRPr lang="en-US"/>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'Ping pong rate'!$D$9</c:f>
              <c:strCache>
                <c:ptCount val="1"/>
                <c:pt idx="0">
                  <c:v>3km/h</c:v>
                </c:pt>
              </c:strCache>
            </c:strRef>
          </c:tx>
          <c:invertIfNegative val="0"/>
          <c:cat>
            <c:strRef>
              <c:f>'Ping pong rate'!$E$8:$H$8</c:f>
              <c:strCache>
                <c:ptCount val="4"/>
                <c:pt idx="0">
                  <c:v>0m</c:v>
                </c:pt>
                <c:pt idx="1">
                  <c:v>50m</c:v>
                </c:pt>
                <c:pt idx="2">
                  <c:v>100m</c:v>
                </c:pt>
                <c:pt idx="3">
                  <c:v>300m</c:v>
                </c:pt>
              </c:strCache>
            </c:strRef>
          </c:cat>
          <c:val>
            <c:numRef>
              <c:f>'Ping pong rate'!$E$9:$H$9</c:f>
              <c:numCache>
                <c:formatCode>0.000000</c:formatCode>
                <c:ptCount val="4"/>
                <c:pt idx="0">
                  <c:v>10.415606</c:v>
                </c:pt>
                <c:pt idx="1">
                  <c:v>6.4141110000000001</c:v>
                </c:pt>
                <c:pt idx="2">
                  <c:v>0.224359</c:v>
                </c:pt>
                <c:pt idx="3">
                  <c:v>0</c:v>
                </c:pt>
              </c:numCache>
            </c:numRef>
          </c:val>
          <c:extLst>
            <c:ext xmlns:c16="http://schemas.microsoft.com/office/drawing/2014/chart" uri="{C3380CC4-5D6E-409C-BE32-E72D297353CC}">
              <c16:uniqueId val="{00000000-A2E4-4A83-8C40-A313E7301A09}"/>
            </c:ext>
          </c:extLst>
        </c:ser>
        <c:ser>
          <c:idx val="1"/>
          <c:order val="1"/>
          <c:tx>
            <c:strRef>
              <c:f>'Ping pong rate'!$D$10</c:f>
              <c:strCache>
                <c:ptCount val="1"/>
                <c:pt idx="0">
                  <c:v>30km/h</c:v>
                </c:pt>
              </c:strCache>
            </c:strRef>
          </c:tx>
          <c:invertIfNegative val="0"/>
          <c:cat>
            <c:strRef>
              <c:f>'Ping pong rate'!$E$8:$H$8</c:f>
              <c:strCache>
                <c:ptCount val="4"/>
                <c:pt idx="0">
                  <c:v>0m</c:v>
                </c:pt>
                <c:pt idx="1">
                  <c:v>50m</c:v>
                </c:pt>
                <c:pt idx="2">
                  <c:v>100m</c:v>
                </c:pt>
                <c:pt idx="3">
                  <c:v>300m</c:v>
                </c:pt>
              </c:strCache>
            </c:strRef>
          </c:cat>
          <c:val>
            <c:numRef>
              <c:f>'Ping pong rate'!$E$10:$H$10</c:f>
              <c:numCache>
                <c:formatCode>0.000000</c:formatCode>
                <c:ptCount val="4"/>
                <c:pt idx="0">
                  <c:v>16.307623</c:v>
                </c:pt>
                <c:pt idx="1">
                  <c:v>13.927511000000001</c:v>
                </c:pt>
                <c:pt idx="2">
                  <c:v>6.7957789999999996</c:v>
                </c:pt>
                <c:pt idx="3">
                  <c:v>0</c:v>
                </c:pt>
              </c:numCache>
            </c:numRef>
          </c:val>
          <c:extLst>
            <c:ext xmlns:c16="http://schemas.microsoft.com/office/drawing/2014/chart" uri="{C3380CC4-5D6E-409C-BE32-E72D297353CC}">
              <c16:uniqueId val="{00000001-A2E4-4A83-8C40-A313E7301A09}"/>
            </c:ext>
          </c:extLst>
        </c:ser>
        <c:ser>
          <c:idx val="2"/>
          <c:order val="2"/>
          <c:tx>
            <c:strRef>
              <c:f>'Ping pong rate'!$D$11</c:f>
              <c:strCache>
                <c:ptCount val="1"/>
                <c:pt idx="0">
                  <c:v>60km/h</c:v>
                </c:pt>
              </c:strCache>
            </c:strRef>
          </c:tx>
          <c:invertIfNegative val="0"/>
          <c:cat>
            <c:strRef>
              <c:f>'Ping pong rate'!$E$8:$H$8</c:f>
              <c:strCache>
                <c:ptCount val="4"/>
                <c:pt idx="0">
                  <c:v>0m</c:v>
                </c:pt>
                <c:pt idx="1">
                  <c:v>50m</c:v>
                </c:pt>
                <c:pt idx="2">
                  <c:v>100m</c:v>
                </c:pt>
                <c:pt idx="3">
                  <c:v>300m</c:v>
                </c:pt>
              </c:strCache>
            </c:strRef>
          </c:cat>
          <c:val>
            <c:numRef>
              <c:f>'Ping pong rate'!$E$11:$H$11</c:f>
              <c:numCache>
                <c:formatCode>0.000000</c:formatCode>
                <c:ptCount val="4"/>
                <c:pt idx="0">
                  <c:v>13.841296</c:v>
                </c:pt>
                <c:pt idx="1">
                  <c:v>9.7704190000000004</c:v>
                </c:pt>
                <c:pt idx="2">
                  <c:v>10.010311</c:v>
                </c:pt>
                <c:pt idx="3">
                  <c:v>0.10034949999999999</c:v>
                </c:pt>
              </c:numCache>
            </c:numRef>
          </c:val>
          <c:extLst>
            <c:ext xmlns:c16="http://schemas.microsoft.com/office/drawing/2014/chart" uri="{C3380CC4-5D6E-409C-BE32-E72D297353CC}">
              <c16:uniqueId val="{00000002-A2E4-4A83-8C40-A313E7301A09}"/>
            </c:ext>
          </c:extLst>
        </c:ser>
        <c:ser>
          <c:idx val="3"/>
          <c:order val="3"/>
          <c:tx>
            <c:strRef>
              <c:f>'Ping pong rate'!$D$12</c:f>
              <c:strCache>
                <c:ptCount val="1"/>
                <c:pt idx="0">
                  <c:v>160km/h</c:v>
                </c:pt>
              </c:strCache>
            </c:strRef>
          </c:tx>
          <c:invertIfNegative val="0"/>
          <c:cat>
            <c:strRef>
              <c:f>'Ping pong rate'!$E$8:$H$8</c:f>
              <c:strCache>
                <c:ptCount val="4"/>
                <c:pt idx="0">
                  <c:v>0m</c:v>
                </c:pt>
                <c:pt idx="1">
                  <c:v>50m</c:v>
                </c:pt>
                <c:pt idx="2">
                  <c:v>100m</c:v>
                </c:pt>
                <c:pt idx="3">
                  <c:v>300m</c:v>
                </c:pt>
              </c:strCache>
            </c:strRef>
          </c:cat>
          <c:val>
            <c:numRef>
              <c:f>'Ping pong rate'!$E$12:$H$12</c:f>
              <c:numCache>
                <c:formatCode>0.000000</c:formatCode>
                <c:ptCount val="4"/>
                <c:pt idx="0">
                  <c:v>8.6963120000000007</c:v>
                </c:pt>
                <c:pt idx="1">
                  <c:v>3.000283</c:v>
                </c:pt>
                <c:pt idx="2">
                  <c:v>5.229012</c:v>
                </c:pt>
                <c:pt idx="3">
                  <c:v>1.643149</c:v>
                </c:pt>
              </c:numCache>
            </c:numRef>
          </c:val>
          <c:extLst>
            <c:ext xmlns:c16="http://schemas.microsoft.com/office/drawing/2014/chart" uri="{C3380CC4-5D6E-409C-BE32-E72D297353CC}">
              <c16:uniqueId val="{00000003-A2E4-4A83-8C40-A313E7301A09}"/>
            </c:ext>
          </c:extLst>
        </c:ser>
        <c:dLbls>
          <c:showLegendKey val="0"/>
          <c:showVal val="0"/>
          <c:showCatName val="0"/>
          <c:showSerName val="0"/>
          <c:showPercent val="0"/>
          <c:showBubbleSize val="0"/>
        </c:dLbls>
        <c:gapWidth val="150"/>
        <c:axId val="401824000"/>
        <c:axId val="1"/>
      </c:barChart>
      <c:catAx>
        <c:axId val="401824000"/>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
        <c:crosses val="autoZero"/>
        <c:auto val="1"/>
        <c:lblAlgn val="ctr"/>
        <c:lblOffset val="100"/>
        <c:noMultiLvlLbl val="0"/>
      </c:catAx>
      <c:valAx>
        <c:axId val="1"/>
        <c:scaling>
          <c:orientation val="minMax"/>
        </c:scaling>
        <c:delete val="0"/>
        <c:axPos val="l"/>
        <c:majorGridlines/>
        <c:numFmt formatCode="0.00000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401824000"/>
        <c:crosses val="autoZero"/>
        <c:crossBetween val="between"/>
      </c:valAx>
    </c:plotArea>
    <c:legend>
      <c:legendPos val="r"/>
      <c:layout>
        <c:manualLayout>
          <c:xMode val="edge"/>
          <c:yMode val="edge"/>
          <c:x val="0.82204157578894177"/>
          <c:y val="0.27700467019087405"/>
          <c:w val="0.16628196123371908"/>
          <c:h val="0.45071950513228098"/>
        </c:manualLayout>
      </c:layout>
      <c:overlay val="0"/>
      <c:spPr>
        <a:noFill/>
        <a:ln w="25400">
          <a:noFill/>
        </a:ln>
      </c:spPr>
      <c:txPr>
        <a:bodyPr/>
        <a:lstStyle/>
        <a:p>
          <a:pPr>
            <a:defRPr sz="920" b="0" i="0" u="none" strike="noStrike" baseline="0">
              <a:solidFill>
                <a:srgbClr val="000000"/>
              </a:solidFill>
              <a:latin typeface="Calibri"/>
              <a:ea typeface="Calibri"/>
              <a:cs typeface="Calibri"/>
            </a:defRPr>
          </a:pPr>
          <a:endParaRPr lang="en-US"/>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2017-11-17T01:30:00Z</dcterms:created>
  <dcterms:modified xsi:type="dcterms:W3CDTF">2017-11-17T01:40:00Z</dcterms:modified>
</cp:coreProperties>
</file>